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AEA" w:rsidRDefault="00224AEA" w:rsidP="00224AEA">
      <w:pPr>
        <w:tabs>
          <w:tab w:val="left" w:pos="564"/>
        </w:tabs>
      </w:pPr>
      <w:bookmarkStart w:id="0" w:name="_GoBack"/>
      <w:bookmarkEnd w:id="0"/>
    </w:p>
    <w:p w:rsidR="00224AEA" w:rsidRDefault="00224AEA" w:rsidP="00224AEA">
      <w:r w:rsidRPr="00482661">
        <w:rPr>
          <w:noProof/>
          <w:lang w:eastAsia="es-MX"/>
        </w:rPr>
        <w:drawing>
          <wp:anchor distT="0" distB="0" distL="114300" distR="114300" simplePos="0" relativeHeight="251659264" behindDoc="0" locked="0" layoutInCell="0" allowOverlap="1" wp14:anchorId="02E16844" wp14:editId="1C69B04D">
            <wp:simplePos x="0" y="0"/>
            <wp:positionH relativeFrom="margin">
              <wp:posOffset>1844675</wp:posOffset>
            </wp:positionH>
            <wp:positionV relativeFrom="paragraph">
              <wp:posOffset>118193</wp:posOffset>
            </wp:positionV>
            <wp:extent cx="1922145" cy="1439545"/>
            <wp:effectExtent l="0" t="0" r="1905" b="8255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145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4AEA" w:rsidRDefault="00224AEA" w:rsidP="00224AEA"/>
    <w:p w:rsidR="00224AEA" w:rsidRDefault="00224AEA" w:rsidP="00224AEA"/>
    <w:p w:rsidR="00224AEA" w:rsidRDefault="00224AEA" w:rsidP="00224AEA">
      <w:pPr>
        <w:rPr>
          <w:noProof/>
          <w:lang w:eastAsia="es-MX"/>
        </w:rPr>
      </w:pPr>
    </w:p>
    <w:p w:rsidR="00224AEA" w:rsidRDefault="00224AEA" w:rsidP="00224AEA">
      <w:pPr>
        <w:rPr>
          <w:noProof/>
          <w:lang w:eastAsia="es-MX"/>
        </w:rPr>
      </w:pPr>
    </w:p>
    <w:p w:rsidR="00224AEA" w:rsidRDefault="00224AEA" w:rsidP="00224AEA">
      <w:pPr>
        <w:rPr>
          <w:noProof/>
          <w:lang w:eastAsia="es-MX"/>
        </w:rPr>
      </w:pPr>
    </w:p>
    <w:p w:rsidR="00224AEA" w:rsidRDefault="00224AEA" w:rsidP="00224AEA">
      <w:pPr>
        <w:rPr>
          <w:noProof/>
          <w:lang w:eastAsia="es-MX"/>
        </w:rPr>
      </w:pPr>
    </w:p>
    <w:p w:rsidR="00224AEA" w:rsidRPr="00035409" w:rsidRDefault="00224AEA" w:rsidP="00224AEA">
      <w:pPr>
        <w:jc w:val="center"/>
        <w:rPr>
          <w:rFonts w:ascii="Tahoma" w:hAnsi="Tahoma"/>
          <w:sz w:val="24"/>
        </w:rPr>
      </w:pPr>
    </w:p>
    <w:p w:rsidR="00224AEA" w:rsidRPr="00224AEA" w:rsidRDefault="00224AEA" w:rsidP="00224AEA">
      <w:pPr>
        <w:jc w:val="center"/>
        <w:rPr>
          <w:rFonts w:ascii="Tahoma" w:hAnsi="Tahoma"/>
          <w:b/>
          <w:sz w:val="24"/>
          <w:szCs w:val="24"/>
        </w:rPr>
      </w:pPr>
      <w:r w:rsidRPr="00224AEA">
        <w:rPr>
          <w:rFonts w:ascii="Tahoma" w:hAnsi="Tahoma"/>
          <w:b/>
          <w:sz w:val="24"/>
          <w:szCs w:val="24"/>
        </w:rPr>
        <w:t>Instituto del Fondo Nacional de la Vivienda para los Trabajadores</w:t>
      </w:r>
    </w:p>
    <w:p w:rsidR="00224AEA" w:rsidRPr="00224AEA" w:rsidRDefault="00224AEA" w:rsidP="00224AEA">
      <w:pPr>
        <w:jc w:val="center"/>
        <w:rPr>
          <w:rFonts w:ascii="Tahoma" w:hAnsi="Tahoma"/>
          <w:sz w:val="24"/>
          <w:szCs w:val="24"/>
        </w:rPr>
      </w:pPr>
      <w:r w:rsidRPr="00224AEA">
        <w:rPr>
          <w:rFonts w:ascii="Tahoma" w:hAnsi="Tahoma" w:cs="Tahoma"/>
          <w:b/>
          <w:bCs/>
        </w:rPr>
        <w:t>Relación de países elegibles para inversiones</w:t>
      </w:r>
    </w:p>
    <w:p w:rsidR="00224AEA" w:rsidRDefault="00224AEA" w:rsidP="00224AEA">
      <w:pPr>
        <w:jc w:val="center"/>
        <w:rPr>
          <w:rFonts w:ascii="Tahoma" w:hAnsi="Tahoma"/>
          <w:sz w:val="24"/>
          <w:szCs w:val="24"/>
        </w:rPr>
      </w:pPr>
      <w:r w:rsidRPr="00035409">
        <w:rPr>
          <w:rFonts w:ascii="Tahoma" w:hAnsi="Tahoma"/>
          <w:sz w:val="24"/>
          <w:szCs w:val="24"/>
        </w:rPr>
        <w:t xml:space="preserve">(Anexo </w:t>
      </w:r>
      <w:r>
        <w:rPr>
          <w:rFonts w:ascii="Tahoma" w:hAnsi="Tahoma"/>
          <w:sz w:val="24"/>
          <w:szCs w:val="24"/>
        </w:rPr>
        <w:t>1</w:t>
      </w:r>
      <w:r w:rsidRPr="00035409">
        <w:rPr>
          <w:rFonts w:ascii="Tahoma" w:hAnsi="Tahoma"/>
          <w:sz w:val="24"/>
          <w:szCs w:val="24"/>
        </w:rPr>
        <w:t>)</w:t>
      </w:r>
    </w:p>
    <w:p w:rsidR="00224AEA" w:rsidRDefault="00224AEA">
      <w:pPr>
        <w:spacing w:after="160" w:line="259" w:lineRule="auto"/>
        <w:rPr>
          <w:rFonts w:ascii="Tahoma" w:hAnsi="Tahoma"/>
          <w:sz w:val="24"/>
          <w:szCs w:val="24"/>
        </w:rPr>
      </w:pPr>
      <w:r>
        <w:rPr>
          <w:rFonts w:ascii="Tahoma" w:hAnsi="Tahoma"/>
          <w:sz w:val="24"/>
          <w:szCs w:val="24"/>
        </w:rPr>
        <w:br w:type="page"/>
      </w:r>
    </w:p>
    <w:p w:rsidR="00A75DF0" w:rsidRPr="00224AEA" w:rsidRDefault="00172ED7" w:rsidP="00224AEA">
      <w:pPr>
        <w:spacing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lastRenderedPageBreak/>
        <w:t>Se presenta la relación de países elegibles para inversiones:</w:t>
      </w:r>
    </w:p>
    <w:p w:rsidR="00A75DF0" w:rsidRPr="00224AEA" w:rsidRDefault="00172ED7" w:rsidP="00224AEA">
      <w:pPr>
        <w:spacing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t>Comité sobre el Sistema Financiero Global (CSFG) del Banco de Pagos Internacionales (BPI)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2381"/>
      </w:tblGrid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Alemania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India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Australia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Inglaterra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Bélgica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Italia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Brasil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Japón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Canadá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Luxemburgo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China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México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Corea del sur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Países Bajos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Estados Unidos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Singapur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España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Suecia</w:t>
            </w:r>
          </w:p>
        </w:tc>
      </w:tr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Francia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Suiza</w:t>
            </w:r>
          </w:p>
        </w:tc>
      </w:tr>
      <w:tr w:rsidR="00451655" w:rsidRPr="00224AEA" w:rsidTr="004A3E4A">
        <w:trPr>
          <w:jc w:val="center"/>
        </w:trPr>
        <w:tc>
          <w:tcPr>
            <w:tcW w:w="4762" w:type="dxa"/>
            <w:gridSpan w:val="2"/>
          </w:tcPr>
          <w:p w:rsidR="00451655" w:rsidRPr="00224AEA" w:rsidRDefault="00451655" w:rsidP="00172ED7">
            <w:pPr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224AEA">
              <w:rPr>
                <w:rFonts w:ascii="Tahoma" w:hAnsi="Tahoma" w:cs="Tahoma"/>
              </w:rPr>
              <w:t>Hong Kong</w:t>
            </w:r>
          </w:p>
        </w:tc>
      </w:tr>
    </w:tbl>
    <w:p w:rsidR="00172ED7" w:rsidRPr="00224AEA" w:rsidRDefault="00172ED7" w:rsidP="00224AEA">
      <w:pPr>
        <w:spacing w:before="160"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t>Miembros de la Alianza del Pacífico (AP) con plenos derechos cuyas bolsas de valores pertenezcan al Mercado Integrado Latinoamericano (MILA)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2381"/>
      </w:tblGrid>
      <w:tr w:rsidR="00172ED7" w:rsidRPr="00224AEA" w:rsidTr="00172ED7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Colombia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Perú</w:t>
            </w:r>
          </w:p>
        </w:tc>
      </w:tr>
    </w:tbl>
    <w:p w:rsidR="00172ED7" w:rsidRPr="00224AEA" w:rsidRDefault="00172ED7" w:rsidP="00224AEA">
      <w:pPr>
        <w:spacing w:before="160"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t>Unión Europea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2381"/>
      </w:tblGrid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Alemania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Hungría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Austria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Irlanda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Bélgica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Italia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Bulgaria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Letonia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Chipre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Lituania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Croacia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Luxemburgo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Dinamarca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Malta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Eslovaquia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Países Bajos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Eslovenia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Polonia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España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Portugal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Estonia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Reino Unido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Finlandia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República Checa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Francia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Rumanía</w:t>
            </w:r>
          </w:p>
        </w:tc>
      </w:tr>
      <w:tr w:rsidR="00172ED7" w:rsidRPr="00224AEA" w:rsidTr="00CF4902">
        <w:trPr>
          <w:jc w:val="center"/>
        </w:trPr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Grecia</w:t>
            </w:r>
          </w:p>
        </w:tc>
        <w:tc>
          <w:tcPr>
            <w:tcW w:w="2381" w:type="dxa"/>
          </w:tcPr>
          <w:p w:rsidR="00172ED7" w:rsidRPr="00224AEA" w:rsidRDefault="00172ED7" w:rsidP="00172ED7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Suecia</w:t>
            </w:r>
          </w:p>
        </w:tc>
      </w:tr>
    </w:tbl>
    <w:p w:rsidR="00172ED7" w:rsidRPr="00224AEA" w:rsidRDefault="00451655" w:rsidP="00224AEA">
      <w:pPr>
        <w:spacing w:before="160"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t>Miembros de la Organización para la Cooperación y el Desarrollo Económico (OCDE) con los que México tenga tratados de libre comercio vigentes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2381"/>
      </w:tblGrid>
      <w:tr w:rsidR="00451655" w:rsidRPr="00224AEA" w:rsidTr="00CF4902">
        <w:trPr>
          <w:jc w:val="center"/>
        </w:trPr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Chile</w:t>
            </w:r>
          </w:p>
        </w:tc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Israel</w:t>
            </w:r>
          </w:p>
        </w:tc>
      </w:tr>
      <w:tr w:rsidR="00451655" w:rsidRPr="00224AEA" w:rsidTr="00CF4902">
        <w:trPr>
          <w:jc w:val="center"/>
        </w:trPr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Islandia</w:t>
            </w:r>
          </w:p>
        </w:tc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Noruega</w:t>
            </w:r>
          </w:p>
        </w:tc>
      </w:tr>
    </w:tbl>
    <w:p w:rsidR="00451655" w:rsidRPr="00224AEA" w:rsidRDefault="00451655" w:rsidP="00224AEA">
      <w:pPr>
        <w:spacing w:before="160" w:after="160" w:line="240" w:lineRule="auto"/>
        <w:jc w:val="both"/>
        <w:rPr>
          <w:rFonts w:ascii="Tahoma" w:hAnsi="Tahoma" w:cs="Tahoma"/>
        </w:rPr>
      </w:pPr>
      <w:r w:rsidRPr="00224AEA">
        <w:rPr>
          <w:rFonts w:ascii="Tahoma" w:hAnsi="Tahoma" w:cs="Tahoma"/>
        </w:rPr>
        <w:t>Países determinados considerando la seguridad de las inversiones y el desarrollo de los mercados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381"/>
        <w:gridCol w:w="2381"/>
      </w:tblGrid>
      <w:tr w:rsidR="00451655" w:rsidRPr="00224AEA" w:rsidTr="00CF4902">
        <w:trPr>
          <w:jc w:val="center"/>
        </w:trPr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 xml:space="preserve">Malasia </w:t>
            </w:r>
          </w:p>
        </w:tc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 xml:space="preserve">Sudáfrica </w:t>
            </w:r>
          </w:p>
        </w:tc>
      </w:tr>
      <w:tr w:rsidR="00451655" w:rsidRPr="00224AEA" w:rsidTr="00CF4902">
        <w:trPr>
          <w:jc w:val="center"/>
        </w:trPr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 xml:space="preserve">Nueva Zelanda </w:t>
            </w:r>
          </w:p>
        </w:tc>
        <w:tc>
          <w:tcPr>
            <w:tcW w:w="2381" w:type="dxa"/>
          </w:tcPr>
          <w:p w:rsidR="00451655" w:rsidRPr="00224AEA" w:rsidRDefault="00451655" w:rsidP="00451655">
            <w:pPr>
              <w:pStyle w:val="Default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 xml:space="preserve">Tailandia </w:t>
            </w:r>
          </w:p>
        </w:tc>
      </w:tr>
      <w:tr w:rsidR="00451655" w:rsidRPr="00224AEA" w:rsidTr="00451655">
        <w:trPr>
          <w:jc w:val="center"/>
        </w:trPr>
        <w:tc>
          <w:tcPr>
            <w:tcW w:w="4762" w:type="dxa"/>
            <w:gridSpan w:val="2"/>
            <w:vAlign w:val="center"/>
          </w:tcPr>
          <w:p w:rsidR="00451655" w:rsidRPr="00224AEA" w:rsidRDefault="00451655" w:rsidP="00451655">
            <w:pPr>
              <w:pStyle w:val="Default"/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224AEA">
              <w:rPr>
                <w:rFonts w:ascii="Tahoma" w:hAnsi="Tahoma" w:cs="Tahoma"/>
                <w:sz w:val="22"/>
                <w:szCs w:val="22"/>
              </w:rPr>
              <w:t>Taiwán</w:t>
            </w:r>
          </w:p>
        </w:tc>
      </w:tr>
    </w:tbl>
    <w:p w:rsidR="00451655" w:rsidRPr="00224AEA" w:rsidRDefault="00451655" w:rsidP="00451655">
      <w:pPr>
        <w:spacing w:after="0" w:line="240" w:lineRule="auto"/>
        <w:jc w:val="both"/>
        <w:rPr>
          <w:rFonts w:ascii="Tahoma" w:hAnsi="Tahoma" w:cs="Tahoma"/>
        </w:rPr>
      </w:pPr>
    </w:p>
    <w:sectPr w:rsidR="00451655" w:rsidRPr="00224AEA" w:rsidSect="009F5A72">
      <w:footerReference w:type="default" r:id="rId7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A72" w:rsidRDefault="009F5A72" w:rsidP="009F5A72">
      <w:pPr>
        <w:spacing w:after="0" w:line="240" w:lineRule="auto"/>
      </w:pPr>
      <w:r>
        <w:separator/>
      </w:r>
    </w:p>
  </w:endnote>
  <w:endnote w:type="continuationSeparator" w:id="0">
    <w:p w:rsidR="009F5A72" w:rsidRDefault="009F5A72" w:rsidP="009F5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7780540"/>
      <w:docPartObj>
        <w:docPartGallery w:val="Page Numbers (Bottom of Page)"/>
        <w:docPartUnique/>
      </w:docPartObj>
    </w:sdtPr>
    <w:sdtEndPr>
      <w:rPr>
        <w:rFonts w:ascii="Tahoma" w:hAnsi="Tahoma" w:cs="Tahoma"/>
        <w:sz w:val="20"/>
      </w:rPr>
    </w:sdtEndPr>
    <w:sdtContent>
      <w:p w:rsidR="009F5A72" w:rsidRPr="009F5A72" w:rsidRDefault="009F5A72">
        <w:pPr>
          <w:pStyle w:val="Piedepgina"/>
          <w:jc w:val="right"/>
          <w:rPr>
            <w:rFonts w:ascii="Tahoma" w:hAnsi="Tahoma" w:cs="Tahoma"/>
            <w:sz w:val="20"/>
          </w:rPr>
        </w:pPr>
        <w:r w:rsidRPr="009F5A72">
          <w:rPr>
            <w:rFonts w:ascii="Tahoma" w:hAnsi="Tahoma" w:cs="Tahoma"/>
            <w:sz w:val="20"/>
          </w:rPr>
          <w:fldChar w:fldCharType="begin"/>
        </w:r>
        <w:r w:rsidRPr="009F5A72">
          <w:rPr>
            <w:rFonts w:ascii="Tahoma" w:hAnsi="Tahoma" w:cs="Tahoma"/>
            <w:sz w:val="20"/>
          </w:rPr>
          <w:instrText>PAGE   \* MERGEFORMAT</w:instrText>
        </w:r>
        <w:r w:rsidRPr="009F5A72">
          <w:rPr>
            <w:rFonts w:ascii="Tahoma" w:hAnsi="Tahoma" w:cs="Tahoma"/>
            <w:sz w:val="20"/>
          </w:rPr>
          <w:fldChar w:fldCharType="separate"/>
        </w:r>
        <w:r w:rsidRPr="009F5A72">
          <w:rPr>
            <w:rFonts w:ascii="Tahoma" w:hAnsi="Tahoma" w:cs="Tahoma"/>
            <w:noProof/>
            <w:sz w:val="20"/>
            <w:lang w:val="es-ES"/>
          </w:rPr>
          <w:t>2</w:t>
        </w:r>
        <w:r w:rsidRPr="009F5A72">
          <w:rPr>
            <w:rFonts w:ascii="Tahoma" w:hAnsi="Tahoma" w:cs="Tahoma"/>
            <w:sz w:val="20"/>
          </w:rPr>
          <w:fldChar w:fldCharType="end"/>
        </w:r>
      </w:p>
    </w:sdtContent>
  </w:sdt>
  <w:p w:rsidR="009F5A72" w:rsidRDefault="009F5A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A72" w:rsidRDefault="009F5A72" w:rsidP="009F5A72">
      <w:pPr>
        <w:spacing w:after="0" w:line="240" w:lineRule="auto"/>
      </w:pPr>
      <w:r>
        <w:separator/>
      </w:r>
    </w:p>
  </w:footnote>
  <w:footnote w:type="continuationSeparator" w:id="0">
    <w:p w:rsidR="009F5A72" w:rsidRDefault="009F5A72" w:rsidP="009F5A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DF0"/>
    <w:rsid w:val="0015403F"/>
    <w:rsid w:val="00172ED7"/>
    <w:rsid w:val="00224AEA"/>
    <w:rsid w:val="00451655"/>
    <w:rsid w:val="00935AB0"/>
    <w:rsid w:val="009F5A72"/>
    <w:rsid w:val="00A75DF0"/>
    <w:rsid w:val="00E5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C724B6-2A60-42B0-9E53-29F6B3455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75DF0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A75DF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75DF0"/>
    <w:pPr>
      <w:spacing w:after="160" w:line="240" w:lineRule="auto"/>
    </w:pPr>
    <w:rPr>
      <w:rFonts w:ascii="Calibri" w:eastAsia="Times New Roman" w:hAnsi="Calibri" w:cs="Times New Roman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75DF0"/>
    <w:rPr>
      <w:rFonts w:ascii="Calibri" w:eastAsia="Times New Roman" w:hAnsi="Calibri" w:cs="Times New Roman"/>
      <w:sz w:val="20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75D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5DF0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17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72ED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9F5A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5A72"/>
  </w:style>
  <w:style w:type="paragraph" w:styleId="Piedepgina">
    <w:name w:val="footer"/>
    <w:basedOn w:val="Normal"/>
    <w:link w:val="PiedepginaCar"/>
    <w:uiPriority w:val="99"/>
    <w:unhideWhenUsed/>
    <w:rsid w:val="009F5A7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5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Hernandez Moreno Marco Antonio</dc:creator>
  <cp:keywords/>
  <dc:description/>
  <cp:lastModifiedBy>Hernandez Moreno Marco Antonio</cp:lastModifiedBy>
  <cp:revision>4</cp:revision>
  <cp:lastPrinted>2018-03-14T17:07:00Z</cp:lastPrinted>
  <dcterms:created xsi:type="dcterms:W3CDTF">2018-03-02T01:36:00Z</dcterms:created>
  <dcterms:modified xsi:type="dcterms:W3CDTF">2018-03-14T17:15:00Z</dcterms:modified>
</cp:coreProperties>
</file>