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6ABD" w:rsidRDefault="008E6ABD" w:rsidP="008E6ABD">
      <w:pPr>
        <w:tabs>
          <w:tab w:val="left" w:pos="564"/>
        </w:tabs>
      </w:pPr>
      <w:bookmarkStart w:id="0" w:name="_Toc374366373"/>
      <w:bookmarkStart w:id="1" w:name="_GoBack"/>
      <w:bookmarkEnd w:id="1"/>
    </w:p>
    <w:p w:rsidR="008E6ABD" w:rsidRDefault="008E6ABD" w:rsidP="00E464CD">
      <w:pPr>
        <w:spacing w:after="200" w:line="276" w:lineRule="auto"/>
      </w:pPr>
      <w:r w:rsidRPr="00482661">
        <w:rPr>
          <w:noProof/>
          <w:lang w:eastAsia="es-MX"/>
        </w:rPr>
        <w:drawing>
          <wp:anchor distT="0" distB="0" distL="114300" distR="114300" simplePos="0" relativeHeight="251659264" behindDoc="0" locked="0" layoutInCell="0" allowOverlap="1" wp14:anchorId="6B65312D" wp14:editId="241C6929">
            <wp:simplePos x="0" y="0"/>
            <wp:positionH relativeFrom="margin">
              <wp:posOffset>2010410</wp:posOffset>
            </wp:positionH>
            <wp:positionV relativeFrom="paragraph">
              <wp:posOffset>118110</wp:posOffset>
            </wp:positionV>
            <wp:extent cx="1922145" cy="1439545"/>
            <wp:effectExtent l="0" t="0" r="1905" b="825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E6ABD" w:rsidRDefault="008E6ABD" w:rsidP="00E464CD">
      <w:pPr>
        <w:spacing w:after="200" w:line="276" w:lineRule="auto"/>
      </w:pPr>
    </w:p>
    <w:p w:rsidR="008E6ABD" w:rsidRDefault="008E6ABD" w:rsidP="00E464CD">
      <w:pPr>
        <w:spacing w:after="200" w:line="276" w:lineRule="auto"/>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Default="008E6ABD" w:rsidP="00E464CD">
      <w:pPr>
        <w:spacing w:after="200" w:line="276" w:lineRule="auto"/>
        <w:rPr>
          <w:noProof/>
          <w:lang w:eastAsia="es-MX"/>
        </w:rPr>
      </w:pPr>
    </w:p>
    <w:p w:rsidR="008E6ABD" w:rsidRPr="00035409" w:rsidRDefault="008E6ABD" w:rsidP="008E6ABD">
      <w:pPr>
        <w:jc w:val="center"/>
        <w:rPr>
          <w:rFonts w:ascii="Tahoma" w:hAnsi="Tahoma"/>
          <w:sz w:val="24"/>
        </w:rPr>
      </w:pPr>
    </w:p>
    <w:p w:rsidR="008E6ABD" w:rsidRPr="00224AEA" w:rsidRDefault="008E6ABD" w:rsidP="00E464CD">
      <w:pPr>
        <w:spacing w:after="200" w:line="276" w:lineRule="auto"/>
        <w:jc w:val="center"/>
        <w:rPr>
          <w:rFonts w:ascii="Tahoma" w:hAnsi="Tahoma"/>
          <w:b/>
          <w:sz w:val="24"/>
          <w:szCs w:val="24"/>
          <w:lang w:val="es-MX"/>
        </w:rPr>
      </w:pPr>
      <w:r w:rsidRPr="00224AEA">
        <w:rPr>
          <w:rFonts w:ascii="Tahoma" w:hAnsi="Tahoma"/>
          <w:b/>
          <w:sz w:val="24"/>
          <w:szCs w:val="24"/>
          <w:lang w:val="es-MX"/>
        </w:rPr>
        <w:t>Instituto del Fondo Nacional de la Vivienda para los Trabajadores</w:t>
      </w:r>
    </w:p>
    <w:p w:rsidR="008E6ABD" w:rsidRPr="00224AEA" w:rsidRDefault="008E6ABD" w:rsidP="00E464CD">
      <w:pPr>
        <w:spacing w:after="200" w:line="276" w:lineRule="auto"/>
        <w:jc w:val="center"/>
        <w:rPr>
          <w:rFonts w:ascii="Tahoma" w:hAnsi="Tahoma"/>
          <w:sz w:val="24"/>
          <w:szCs w:val="24"/>
          <w:lang w:val="es-MX"/>
        </w:rPr>
      </w:pPr>
      <w:r>
        <w:rPr>
          <w:rFonts w:ascii="Tahoma" w:hAnsi="Tahoma" w:cs="Tahoma"/>
          <w:b/>
          <w:bCs/>
          <w:lang w:val="es-MX"/>
        </w:rPr>
        <w:t>Política de ejecució</w:t>
      </w:r>
      <w:r w:rsidRPr="008E6ABD">
        <w:rPr>
          <w:rFonts w:ascii="Tahoma" w:hAnsi="Tahoma" w:cs="Tahoma"/>
          <w:b/>
          <w:bCs/>
          <w:lang w:val="es-MX"/>
        </w:rPr>
        <w:t>n de instrumentos financieros apegadas a práctica de mejor ejecución de mercado</w:t>
      </w:r>
    </w:p>
    <w:p w:rsidR="008E6ABD" w:rsidRDefault="008E6ABD" w:rsidP="00E464CD">
      <w:pPr>
        <w:spacing w:after="200" w:line="276" w:lineRule="auto"/>
        <w:jc w:val="center"/>
        <w:rPr>
          <w:rFonts w:ascii="Tahoma" w:hAnsi="Tahoma"/>
          <w:sz w:val="24"/>
          <w:szCs w:val="24"/>
        </w:rPr>
      </w:pPr>
      <w:r w:rsidRPr="00035409">
        <w:rPr>
          <w:rFonts w:ascii="Tahoma" w:hAnsi="Tahoma"/>
          <w:sz w:val="24"/>
          <w:szCs w:val="24"/>
        </w:rPr>
        <w:t xml:space="preserve">(Anexo </w:t>
      </w:r>
      <w:r>
        <w:rPr>
          <w:rFonts w:ascii="Tahoma" w:hAnsi="Tahoma"/>
          <w:sz w:val="24"/>
          <w:szCs w:val="24"/>
        </w:rPr>
        <w:t>7</w:t>
      </w:r>
      <w:r w:rsidRPr="00035409">
        <w:rPr>
          <w:rFonts w:ascii="Tahoma" w:hAnsi="Tahoma"/>
          <w:sz w:val="24"/>
          <w:szCs w:val="24"/>
        </w:rPr>
        <w:t>)</w:t>
      </w:r>
    </w:p>
    <w:p w:rsidR="008E6ABD" w:rsidRDefault="008E6ABD" w:rsidP="004141B5">
      <w:pPr>
        <w:pStyle w:val="Ttulo1"/>
        <w:jc w:val="center"/>
        <w:rPr>
          <w:color w:val="000000" w:themeColor="text1"/>
          <w:sz w:val="20"/>
          <w:szCs w:val="20"/>
          <w:lang w:val="es-MX"/>
        </w:rPr>
      </w:pPr>
    </w:p>
    <w:p w:rsidR="008E6ABD" w:rsidRDefault="008E6ABD" w:rsidP="004141B5">
      <w:pPr>
        <w:pStyle w:val="Ttulo1"/>
        <w:jc w:val="center"/>
        <w:rPr>
          <w:color w:val="000000" w:themeColor="text1"/>
          <w:sz w:val="20"/>
          <w:szCs w:val="20"/>
          <w:lang w:val="es-MX"/>
        </w:rPr>
      </w:pPr>
    </w:p>
    <w:p w:rsidR="008E6ABD" w:rsidRDefault="008E6ABD">
      <w:pPr>
        <w:rPr>
          <w:rFonts w:ascii="Arial" w:eastAsia="Times New Roman" w:hAnsi="Arial" w:cs="Arial"/>
          <w:b/>
          <w:bCs/>
          <w:color w:val="000000" w:themeColor="text1"/>
          <w:kern w:val="32"/>
          <w:sz w:val="20"/>
          <w:szCs w:val="20"/>
          <w:lang w:val="es-MX" w:eastAsia="es-ES"/>
        </w:rPr>
      </w:pPr>
      <w:r>
        <w:rPr>
          <w:color w:val="000000" w:themeColor="text1"/>
          <w:sz w:val="20"/>
          <w:szCs w:val="20"/>
          <w:lang w:val="es-MX"/>
        </w:rPr>
        <w:br w:type="page"/>
      </w:r>
    </w:p>
    <w:bookmarkEnd w:id="0"/>
    <w:p w:rsidR="00542C7B" w:rsidRPr="008E6ABD" w:rsidRDefault="007E0128" w:rsidP="008E6ABD">
      <w:pPr>
        <w:pStyle w:val="VIETA1"/>
        <w:numPr>
          <w:ilvl w:val="0"/>
          <w:numId w:val="8"/>
        </w:numPr>
        <w:spacing w:after="240"/>
        <w:ind w:left="357" w:right="0" w:hanging="357"/>
        <w:rPr>
          <w:rFonts w:ascii="Tahoma" w:hAnsi="Tahoma" w:cs="Tahoma"/>
          <w:b/>
          <w:color w:val="000000" w:themeColor="text1"/>
          <w:sz w:val="22"/>
          <w:szCs w:val="22"/>
          <w:lang w:val="es-MX"/>
        </w:rPr>
      </w:pPr>
      <w:r w:rsidRPr="008E6ABD">
        <w:rPr>
          <w:rFonts w:ascii="Tahoma" w:hAnsi="Tahoma" w:cs="Tahoma"/>
          <w:b/>
          <w:color w:val="000000" w:themeColor="text1"/>
          <w:sz w:val="22"/>
          <w:szCs w:val="22"/>
          <w:lang w:val="es-MX"/>
        </w:rPr>
        <w:lastRenderedPageBreak/>
        <w:t>Objetivo</w:t>
      </w:r>
      <w:r w:rsidR="00380C6C" w:rsidRPr="008E6ABD">
        <w:rPr>
          <w:rFonts w:ascii="Tahoma" w:hAnsi="Tahoma" w:cs="Tahoma"/>
          <w:b/>
          <w:color w:val="000000" w:themeColor="text1"/>
          <w:sz w:val="22"/>
          <w:szCs w:val="22"/>
          <w:lang w:val="es-MX"/>
        </w:rPr>
        <w:t xml:space="preserve"> Estratégico</w:t>
      </w:r>
    </w:p>
    <w:p w:rsidR="00380C6C" w:rsidRPr="008E6ABD" w:rsidRDefault="00EF46E6" w:rsidP="008E6ABD">
      <w:pPr>
        <w:pStyle w:val="VIETA1"/>
        <w:numPr>
          <w:ilvl w:val="0"/>
          <w:numId w:val="0"/>
        </w:numPr>
        <w:spacing w:after="160"/>
        <w:ind w:left="357"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El objetivo de esta política es la de e</w:t>
      </w:r>
      <w:r w:rsidR="00901ED4" w:rsidRPr="008E6ABD">
        <w:rPr>
          <w:rFonts w:ascii="Tahoma" w:hAnsi="Tahoma" w:cs="Tahoma"/>
          <w:color w:val="000000" w:themeColor="text1"/>
          <w:sz w:val="22"/>
          <w:szCs w:val="22"/>
          <w:lang w:val="es-MX"/>
        </w:rPr>
        <w:t xml:space="preserve">stablecer los controles para asegurar la ejecución de las operaciones de compra y venta de </w:t>
      </w:r>
      <w:r w:rsidR="00380C6C" w:rsidRPr="008E6ABD">
        <w:rPr>
          <w:rFonts w:ascii="Tahoma" w:hAnsi="Tahoma" w:cs="Tahoma"/>
          <w:color w:val="000000" w:themeColor="text1"/>
          <w:sz w:val="22"/>
          <w:szCs w:val="22"/>
          <w:lang w:val="es-MX"/>
        </w:rPr>
        <w:t>los instrumentos financieros</w:t>
      </w:r>
      <w:r w:rsidR="00901ED4" w:rsidRPr="008E6ABD">
        <w:rPr>
          <w:rFonts w:ascii="Tahoma" w:hAnsi="Tahoma" w:cs="Tahoma"/>
          <w:color w:val="000000" w:themeColor="text1"/>
          <w:sz w:val="22"/>
          <w:szCs w:val="22"/>
          <w:lang w:val="es-MX"/>
        </w:rPr>
        <w:t xml:space="preserve">, definidos como parte de la estrategia de gestión de inversiones, atendiendo </w:t>
      </w:r>
      <w:r w:rsidR="00380C6C" w:rsidRPr="008E6ABD">
        <w:rPr>
          <w:rFonts w:ascii="Tahoma" w:hAnsi="Tahoma" w:cs="Tahoma"/>
          <w:color w:val="000000" w:themeColor="text1"/>
          <w:sz w:val="22"/>
          <w:szCs w:val="22"/>
          <w:lang w:val="es-MX"/>
        </w:rPr>
        <w:t xml:space="preserve">la práctica de mejor ejecución de mercado. </w:t>
      </w:r>
      <w:r w:rsidR="00D23FFC" w:rsidRPr="008E6ABD">
        <w:rPr>
          <w:rFonts w:ascii="Tahoma" w:hAnsi="Tahoma" w:cs="Tahoma"/>
          <w:color w:val="000000" w:themeColor="text1"/>
          <w:sz w:val="22"/>
          <w:szCs w:val="22"/>
          <w:lang w:val="es-MX"/>
        </w:rPr>
        <w:t xml:space="preserve">Los </w:t>
      </w:r>
      <w:r w:rsidR="00380C6C" w:rsidRPr="008E6ABD">
        <w:rPr>
          <w:rFonts w:ascii="Tahoma" w:hAnsi="Tahoma" w:cs="Tahoma"/>
          <w:color w:val="000000" w:themeColor="text1"/>
          <w:sz w:val="22"/>
          <w:szCs w:val="22"/>
          <w:lang w:val="es-MX"/>
        </w:rPr>
        <w:t xml:space="preserve">puntos que se deben de </w:t>
      </w:r>
      <w:r w:rsidR="00901ED4" w:rsidRPr="008E6ABD">
        <w:rPr>
          <w:rFonts w:ascii="Tahoma" w:hAnsi="Tahoma" w:cs="Tahoma"/>
          <w:color w:val="000000" w:themeColor="text1"/>
          <w:sz w:val="22"/>
          <w:szCs w:val="22"/>
          <w:lang w:val="es-MX"/>
        </w:rPr>
        <w:t xml:space="preserve">observar </w:t>
      </w:r>
      <w:r w:rsidR="00380C6C" w:rsidRPr="008E6ABD">
        <w:rPr>
          <w:rFonts w:ascii="Tahoma" w:hAnsi="Tahoma" w:cs="Tahoma"/>
          <w:color w:val="000000" w:themeColor="text1"/>
          <w:sz w:val="22"/>
          <w:szCs w:val="22"/>
          <w:lang w:val="es-MX"/>
        </w:rPr>
        <w:t>son los siguientes:</w:t>
      </w:r>
    </w:p>
    <w:p w:rsidR="007E0128" w:rsidRPr="008E6ABD" w:rsidRDefault="007E0128" w:rsidP="00EF46E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Acceder a los mejores precios y tasas de mercado</w:t>
      </w:r>
      <w:r w:rsidR="00BB0611" w:rsidRPr="008E6ABD">
        <w:rPr>
          <w:rFonts w:ascii="Tahoma" w:hAnsi="Tahoma" w:cs="Tahoma"/>
          <w:color w:val="000000" w:themeColor="text1"/>
          <w:sz w:val="22"/>
          <w:szCs w:val="22"/>
          <w:lang w:val="es-MX"/>
        </w:rPr>
        <w:t xml:space="preserve"> dep</w:t>
      </w:r>
      <w:r w:rsidR="00380C6C" w:rsidRPr="008E6ABD">
        <w:rPr>
          <w:rFonts w:ascii="Tahoma" w:hAnsi="Tahoma" w:cs="Tahoma"/>
          <w:color w:val="000000" w:themeColor="text1"/>
          <w:sz w:val="22"/>
          <w:szCs w:val="22"/>
          <w:lang w:val="es-MX"/>
        </w:rPr>
        <w:t>endiendo la liquidez de mercado</w:t>
      </w:r>
      <w:r w:rsidR="008E6ABD">
        <w:rPr>
          <w:rFonts w:ascii="Tahoma" w:hAnsi="Tahoma" w:cs="Tahoma"/>
          <w:color w:val="000000" w:themeColor="text1"/>
          <w:sz w:val="22"/>
          <w:szCs w:val="22"/>
          <w:lang w:val="es-MX"/>
        </w:rPr>
        <w:t>.</w:t>
      </w:r>
    </w:p>
    <w:p w:rsidR="007E0128" w:rsidRPr="008E6ABD" w:rsidRDefault="007E0128" w:rsidP="00C969A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 xml:space="preserve">Operar con </w:t>
      </w:r>
      <w:r w:rsidR="0027763D" w:rsidRPr="008E6ABD">
        <w:rPr>
          <w:rFonts w:ascii="Tahoma" w:hAnsi="Tahoma" w:cs="Tahoma"/>
          <w:color w:val="000000" w:themeColor="text1"/>
          <w:sz w:val="22"/>
          <w:szCs w:val="22"/>
          <w:lang w:val="es-MX"/>
        </w:rPr>
        <w:t>las contrapartes</w:t>
      </w:r>
      <w:r w:rsidRPr="008E6ABD">
        <w:rPr>
          <w:rFonts w:ascii="Tahoma" w:hAnsi="Tahoma" w:cs="Tahoma"/>
          <w:color w:val="000000" w:themeColor="text1"/>
          <w:sz w:val="22"/>
          <w:szCs w:val="22"/>
          <w:lang w:val="es-MX"/>
        </w:rPr>
        <w:t xml:space="preserve"> más</w:t>
      </w:r>
      <w:r w:rsidR="00380C6C" w:rsidRPr="008E6ABD">
        <w:rPr>
          <w:rFonts w:ascii="Tahoma" w:hAnsi="Tahoma" w:cs="Tahoma"/>
          <w:color w:val="000000" w:themeColor="text1"/>
          <w:sz w:val="22"/>
          <w:szCs w:val="22"/>
          <w:lang w:val="es-MX"/>
        </w:rPr>
        <w:t xml:space="preserve"> eficientes</w:t>
      </w:r>
      <w:r w:rsidR="008E6ABD">
        <w:rPr>
          <w:rFonts w:ascii="Tahoma" w:hAnsi="Tahoma" w:cs="Tahoma"/>
          <w:color w:val="000000" w:themeColor="text1"/>
          <w:sz w:val="22"/>
          <w:szCs w:val="22"/>
          <w:lang w:val="es-MX"/>
        </w:rPr>
        <w:t>.</w:t>
      </w:r>
    </w:p>
    <w:p w:rsidR="007E0128" w:rsidRPr="008E6ABD" w:rsidRDefault="007E0128" w:rsidP="00C969A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 xml:space="preserve">Distribuir el riesgo de operación </w:t>
      </w:r>
      <w:r w:rsidR="00380C6C" w:rsidRPr="008E6ABD">
        <w:rPr>
          <w:rFonts w:ascii="Tahoma" w:hAnsi="Tahoma" w:cs="Tahoma"/>
          <w:color w:val="000000" w:themeColor="text1"/>
          <w:sz w:val="22"/>
          <w:szCs w:val="22"/>
          <w:lang w:val="es-MX"/>
        </w:rPr>
        <w:t>con diferentes contrapartes</w:t>
      </w:r>
      <w:r w:rsidR="008E6ABD">
        <w:rPr>
          <w:rFonts w:ascii="Tahoma" w:hAnsi="Tahoma" w:cs="Tahoma"/>
          <w:color w:val="000000" w:themeColor="text1"/>
          <w:sz w:val="22"/>
          <w:szCs w:val="22"/>
          <w:lang w:val="es-MX"/>
        </w:rPr>
        <w:t>.</w:t>
      </w:r>
    </w:p>
    <w:p w:rsidR="00BB0611" w:rsidRPr="008E6ABD" w:rsidRDefault="00BB0611" w:rsidP="00C969A6">
      <w:pPr>
        <w:pStyle w:val="VIETA1"/>
        <w:numPr>
          <w:ilvl w:val="0"/>
          <w:numId w:val="3"/>
        </w:numPr>
        <w:ind w:right="0"/>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Concertación de la operación y liquidación con el menor riesgo operativo</w:t>
      </w:r>
      <w:r w:rsidR="008E6ABD">
        <w:rPr>
          <w:rFonts w:ascii="Tahoma" w:hAnsi="Tahoma" w:cs="Tahoma"/>
          <w:color w:val="000000" w:themeColor="text1"/>
          <w:sz w:val="22"/>
          <w:szCs w:val="22"/>
          <w:lang w:val="es-MX"/>
        </w:rPr>
        <w:t>.</w:t>
      </w:r>
    </w:p>
    <w:p w:rsidR="00BB0611" w:rsidRPr="008E6ABD" w:rsidRDefault="00EF46E6" w:rsidP="008E6ABD">
      <w:pPr>
        <w:pStyle w:val="VIETA1"/>
        <w:numPr>
          <w:ilvl w:val="0"/>
          <w:numId w:val="3"/>
        </w:numPr>
        <w:spacing w:after="160"/>
        <w:ind w:left="714" w:right="0" w:hanging="357"/>
        <w:rPr>
          <w:rFonts w:ascii="Tahoma" w:hAnsi="Tahoma" w:cs="Tahoma"/>
          <w:color w:val="000000" w:themeColor="text1"/>
          <w:sz w:val="22"/>
          <w:szCs w:val="22"/>
          <w:lang w:val="es-MX"/>
        </w:rPr>
      </w:pPr>
      <w:r w:rsidRPr="008E6ABD">
        <w:rPr>
          <w:rFonts w:ascii="Tahoma" w:hAnsi="Tahoma" w:cs="Tahoma"/>
          <w:color w:val="000000" w:themeColor="text1"/>
          <w:sz w:val="22"/>
          <w:szCs w:val="22"/>
          <w:lang w:val="es-MX"/>
        </w:rPr>
        <w:t xml:space="preserve">Distribuir </w:t>
      </w:r>
      <w:r w:rsidR="00BB0611" w:rsidRPr="008E6ABD">
        <w:rPr>
          <w:rFonts w:ascii="Tahoma" w:hAnsi="Tahoma" w:cs="Tahoma"/>
          <w:color w:val="000000" w:themeColor="text1"/>
          <w:sz w:val="22"/>
          <w:szCs w:val="22"/>
          <w:lang w:val="es-MX"/>
        </w:rPr>
        <w:t xml:space="preserve">la exposición </w:t>
      </w:r>
      <w:r w:rsidR="00380C6C" w:rsidRPr="008E6ABD">
        <w:rPr>
          <w:rFonts w:ascii="Tahoma" w:hAnsi="Tahoma" w:cs="Tahoma"/>
          <w:color w:val="000000" w:themeColor="text1"/>
          <w:sz w:val="22"/>
          <w:szCs w:val="22"/>
          <w:lang w:val="es-MX"/>
        </w:rPr>
        <w:t xml:space="preserve">de operaciones </w:t>
      </w:r>
      <w:r w:rsidRPr="008E6ABD">
        <w:rPr>
          <w:rFonts w:ascii="Tahoma" w:hAnsi="Tahoma" w:cs="Tahoma"/>
          <w:color w:val="000000" w:themeColor="text1"/>
          <w:sz w:val="22"/>
          <w:szCs w:val="22"/>
          <w:lang w:val="es-MX"/>
        </w:rPr>
        <w:t>por</w:t>
      </w:r>
      <w:r w:rsidR="00380C6C" w:rsidRPr="008E6ABD">
        <w:rPr>
          <w:rFonts w:ascii="Tahoma" w:hAnsi="Tahoma" w:cs="Tahoma"/>
          <w:color w:val="000000" w:themeColor="text1"/>
          <w:sz w:val="22"/>
          <w:szCs w:val="22"/>
          <w:lang w:val="es-MX"/>
        </w:rPr>
        <w:t xml:space="preserve"> operador</w:t>
      </w:r>
      <w:r w:rsidR="008E6ABD">
        <w:rPr>
          <w:rFonts w:ascii="Tahoma" w:hAnsi="Tahoma" w:cs="Tahoma"/>
          <w:color w:val="000000" w:themeColor="text1"/>
          <w:sz w:val="22"/>
          <w:szCs w:val="22"/>
          <w:lang w:val="es-MX"/>
        </w:rPr>
        <w:t>.</w:t>
      </w:r>
    </w:p>
    <w:p w:rsidR="00380C6C" w:rsidRPr="008E6ABD" w:rsidRDefault="00380C6C"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 xml:space="preserve">Responsabilidades de la </w:t>
      </w:r>
      <w:r w:rsidR="009B2449"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Coordinación de Inversiones</w:t>
      </w:r>
      <w:r w:rsidR="009B2449" w:rsidRPr="008E6ABD">
        <w:rPr>
          <w:rFonts w:ascii="Tahoma" w:hAnsi="Tahoma" w:cs="Tahoma"/>
          <w:b/>
          <w:color w:val="000000" w:themeColor="text1"/>
          <w:sz w:val="22"/>
          <w:szCs w:val="22"/>
        </w:rPr>
        <w:t xml:space="preserve"> (</w:t>
      </w:r>
      <w:r w:rsidR="00034D8F" w:rsidRPr="008E6ABD">
        <w:rPr>
          <w:rFonts w:ascii="Tahoma" w:hAnsi="Tahoma" w:cs="Tahoma"/>
          <w:b/>
          <w:color w:val="000000" w:themeColor="text1"/>
          <w:sz w:val="22"/>
          <w:szCs w:val="22"/>
        </w:rPr>
        <w:t>CI</w:t>
      </w:r>
      <w:r w:rsidR="009B2449" w:rsidRPr="008E6ABD">
        <w:rPr>
          <w:rFonts w:ascii="Tahoma" w:hAnsi="Tahoma" w:cs="Tahoma"/>
          <w:b/>
          <w:color w:val="000000" w:themeColor="text1"/>
          <w:sz w:val="22"/>
          <w:szCs w:val="22"/>
        </w:rPr>
        <w:t>)</w:t>
      </w:r>
    </w:p>
    <w:p w:rsidR="00380C6C" w:rsidRPr="008E6ABD" w:rsidRDefault="00380C6C" w:rsidP="00AB4A7F">
      <w:pPr>
        <w:pStyle w:val="VIETA1"/>
        <w:numPr>
          <w:ilvl w:val="0"/>
          <w:numId w:val="0"/>
        </w:numPr>
        <w:spacing w:before="120" w:after="120"/>
        <w:ind w:left="36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Las responsabilidades de la </w:t>
      </w:r>
      <w:r w:rsidR="009B2449" w:rsidRPr="008E6ABD">
        <w:rPr>
          <w:rFonts w:ascii="Tahoma" w:hAnsi="Tahoma" w:cs="Tahoma"/>
          <w:b/>
          <w:color w:val="000000" w:themeColor="text1"/>
          <w:sz w:val="22"/>
          <w:szCs w:val="22"/>
        </w:rPr>
        <w:t xml:space="preserve">Gerencia Sr </w:t>
      </w:r>
      <w:r w:rsidR="00034D8F" w:rsidRPr="008E6ABD">
        <w:rPr>
          <w:rFonts w:ascii="Tahoma" w:hAnsi="Tahoma" w:cs="Tahoma"/>
          <w:b/>
          <w:color w:val="000000" w:themeColor="text1"/>
          <w:sz w:val="22"/>
          <w:szCs w:val="22"/>
        </w:rPr>
        <w:t>CI</w:t>
      </w:r>
      <w:r w:rsidRPr="008E6ABD">
        <w:rPr>
          <w:rFonts w:ascii="Tahoma" w:hAnsi="Tahoma" w:cs="Tahoma"/>
          <w:color w:val="000000" w:themeColor="text1"/>
          <w:sz w:val="22"/>
          <w:szCs w:val="22"/>
        </w:rPr>
        <w:t xml:space="preserve"> son:</w:t>
      </w:r>
    </w:p>
    <w:p w:rsidR="0028228D" w:rsidRPr="008E6ABD" w:rsidRDefault="00380C6C" w:rsidP="008E6ABD">
      <w:pPr>
        <w:pStyle w:val="VIETA1"/>
        <w:numPr>
          <w:ilvl w:val="0"/>
          <w:numId w:val="9"/>
        </w:numPr>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Realizar las operaciones en apego a los procedimientos que esta política enmarca</w:t>
      </w:r>
      <w:r w:rsidR="0038652B" w:rsidRPr="008E6ABD">
        <w:rPr>
          <w:rFonts w:ascii="Tahoma" w:hAnsi="Tahoma" w:cs="Tahoma"/>
          <w:color w:val="000000" w:themeColor="text1"/>
          <w:sz w:val="22"/>
          <w:szCs w:val="22"/>
        </w:rPr>
        <w:t xml:space="preserve"> o</w:t>
      </w:r>
      <w:r w:rsidRPr="008E6ABD">
        <w:rPr>
          <w:rFonts w:ascii="Tahoma" w:hAnsi="Tahoma" w:cs="Tahoma"/>
          <w:color w:val="000000" w:themeColor="text1"/>
          <w:sz w:val="22"/>
          <w:szCs w:val="22"/>
        </w:rPr>
        <w:t>btener cotizaciones de diferentes intermediarios</w:t>
      </w:r>
      <w:r w:rsidR="0028228D" w:rsidRPr="008E6ABD">
        <w:rPr>
          <w:rFonts w:ascii="Tahoma" w:hAnsi="Tahoma" w:cs="Tahoma"/>
          <w:color w:val="000000" w:themeColor="text1"/>
          <w:sz w:val="22"/>
          <w:szCs w:val="22"/>
        </w:rPr>
        <w:t xml:space="preserve"> </w:t>
      </w:r>
      <w:r w:rsidR="0038652B" w:rsidRPr="008E6ABD">
        <w:rPr>
          <w:rFonts w:ascii="Tahoma" w:hAnsi="Tahoma" w:cs="Tahoma"/>
          <w:color w:val="000000" w:themeColor="text1"/>
          <w:sz w:val="22"/>
          <w:szCs w:val="22"/>
        </w:rPr>
        <w:t xml:space="preserve">y/o brokers electrónicos </w:t>
      </w:r>
      <w:r w:rsidR="00EF46E6" w:rsidRPr="008E6ABD">
        <w:rPr>
          <w:rFonts w:ascii="Tahoma" w:hAnsi="Tahoma" w:cs="Tahoma"/>
          <w:color w:val="000000" w:themeColor="text1"/>
          <w:sz w:val="22"/>
          <w:szCs w:val="22"/>
        </w:rPr>
        <w:t>en la medida de lo posible</w:t>
      </w:r>
      <w:r w:rsidR="0038652B" w:rsidRPr="008E6ABD">
        <w:rPr>
          <w:rFonts w:ascii="Tahoma" w:hAnsi="Tahoma" w:cs="Tahoma"/>
          <w:color w:val="000000" w:themeColor="text1"/>
          <w:sz w:val="22"/>
          <w:szCs w:val="22"/>
        </w:rPr>
        <w:t xml:space="preserve">. </w:t>
      </w:r>
      <w:r w:rsidR="0028228D" w:rsidRPr="008E6ABD">
        <w:rPr>
          <w:rFonts w:ascii="Tahoma" w:hAnsi="Tahoma" w:cs="Tahoma"/>
          <w:color w:val="000000" w:themeColor="text1"/>
          <w:sz w:val="22"/>
          <w:szCs w:val="22"/>
        </w:rPr>
        <w:t xml:space="preserve"> </w:t>
      </w:r>
    </w:p>
    <w:p w:rsidR="00344B79" w:rsidRPr="008E6ABD" w:rsidRDefault="00380C6C" w:rsidP="008E6ABD">
      <w:pPr>
        <w:pStyle w:val="VIETA1"/>
        <w:numPr>
          <w:ilvl w:val="0"/>
          <w:numId w:val="9"/>
        </w:numPr>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Evaluar la liquidez del mercado antes de efectuar una orden</w:t>
      </w:r>
      <w:r w:rsidR="008E6ABD">
        <w:rPr>
          <w:rFonts w:ascii="Tahoma" w:hAnsi="Tahoma" w:cs="Tahoma"/>
          <w:color w:val="000000" w:themeColor="text1"/>
          <w:sz w:val="22"/>
          <w:szCs w:val="22"/>
        </w:rPr>
        <w:t>.</w:t>
      </w:r>
    </w:p>
    <w:p w:rsidR="00380C6C" w:rsidRPr="008E6ABD" w:rsidRDefault="00380C6C" w:rsidP="008E6ABD">
      <w:pPr>
        <w:pStyle w:val="VIETA1"/>
        <w:numPr>
          <w:ilvl w:val="0"/>
          <w:numId w:val="9"/>
        </w:numPr>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Determinar cuál es la contraparte que puede ejecutar la orden y con el menor riesgo operativo</w:t>
      </w:r>
      <w:r w:rsidR="008E6ABD">
        <w:rPr>
          <w:rFonts w:ascii="Tahoma" w:hAnsi="Tahoma" w:cs="Tahoma"/>
          <w:color w:val="000000" w:themeColor="text1"/>
          <w:sz w:val="22"/>
          <w:szCs w:val="22"/>
        </w:rPr>
        <w:t>.</w:t>
      </w:r>
    </w:p>
    <w:p w:rsidR="00344B79" w:rsidRPr="008E6ABD" w:rsidRDefault="00380C6C" w:rsidP="008E6ABD">
      <w:pPr>
        <w:pStyle w:val="VIETA1"/>
        <w:numPr>
          <w:ilvl w:val="0"/>
          <w:numId w:val="9"/>
        </w:numPr>
        <w:spacing w:after="160"/>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Registrar en una bitácora tanto las cotizaciones como las operaciones realizadas</w:t>
      </w:r>
      <w:r w:rsidR="008E6ABD">
        <w:rPr>
          <w:rFonts w:ascii="Tahoma" w:hAnsi="Tahoma" w:cs="Tahoma"/>
          <w:color w:val="000000" w:themeColor="text1"/>
          <w:sz w:val="22"/>
          <w:szCs w:val="22"/>
        </w:rPr>
        <w:t>.</w:t>
      </w:r>
    </w:p>
    <w:p w:rsidR="00380C6C" w:rsidRPr="008E6ABD" w:rsidRDefault="00380C6C"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Responsabilidades de</w:t>
      </w:r>
      <w:r w:rsidR="00D23508" w:rsidRPr="008E6ABD">
        <w:rPr>
          <w:rFonts w:ascii="Tahoma" w:hAnsi="Tahoma" w:cs="Tahoma"/>
          <w:b/>
          <w:color w:val="000000" w:themeColor="text1"/>
          <w:sz w:val="22"/>
          <w:szCs w:val="22"/>
        </w:rPr>
        <w:t xml:space="preserve"> </w:t>
      </w:r>
      <w:r w:rsidR="008E6ABD">
        <w:rPr>
          <w:rFonts w:ascii="Tahoma" w:hAnsi="Tahoma" w:cs="Tahoma"/>
          <w:b/>
          <w:color w:val="000000" w:themeColor="text1"/>
          <w:sz w:val="22"/>
          <w:szCs w:val="22"/>
        </w:rPr>
        <w:t>Gerente de Control del Proceso de Inversión</w:t>
      </w:r>
    </w:p>
    <w:p w:rsidR="00380C6C" w:rsidRPr="008E6ABD" w:rsidRDefault="00380C6C"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Las responsabilidades del</w:t>
      </w:r>
      <w:r w:rsidR="009B2449" w:rsidRPr="008E6ABD">
        <w:rPr>
          <w:rFonts w:ascii="Tahoma" w:hAnsi="Tahoma" w:cs="Tahoma"/>
          <w:color w:val="000000" w:themeColor="text1"/>
          <w:sz w:val="22"/>
          <w:szCs w:val="22"/>
        </w:rPr>
        <w:t xml:space="preserve"> </w:t>
      </w:r>
      <w:r w:rsidR="008E6ABD">
        <w:rPr>
          <w:rFonts w:ascii="Tahoma" w:hAnsi="Tahoma" w:cs="Tahoma"/>
          <w:b/>
          <w:color w:val="000000" w:themeColor="text1"/>
          <w:sz w:val="22"/>
          <w:szCs w:val="22"/>
        </w:rPr>
        <w:t>Gerente de Control del Proceso de Inversión</w:t>
      </w:r>
      <w:r w:rsidR="00BF2568"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son:</w:t>
      </w:r>
    </w:p>
    <w:p w:rsidR="00E609FB" w:rsidRPr="008E6ABD" w:rsidRDefault="00E609FB" w:rsidP="00E609FB">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Revisar que la operación a realizar se encuentre fundamentada y debidamente documentada en la estrategia de inversión aprobada.</w:t>
      </w:r>
    </w:p>
    <w:p w:rsidR="00E609FB" w:rsidRPr="008E6ABD" w:rsidRDefault="00E609FB" w:rsidP="00E609FB">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Revisar que se ha realizado un análisis de liquidez para determinar el </w:t>
      </w:r>
      <w:r w:rsidR="008E6ABD">
        <w:rPr>
          <w:rFonts w:ascii="Tahoma" w:hAnsi="Tahoma" w:cs="Tahoma"/>
          <w:color w:val="000000" w:themeColor="text1"/>
          <w:sz w:val="22"/>
          <w:szCs w:val="22"/>
        </w:rPr>
        <w:t>número óptimo de cotizaciones.</w:t>
      </w:r>
    </w:p>
    <w:p w:rsidR="0028228D" w:rsidRPr="008E6ABD" w:rsidRDefault="00901ED4" w:rsidP="00BF2568">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Verificar el registro de las</w:t>
      </w:r>
      <w:r w:rsidR="008E6ABD">
        <w:rPr>
          <w:rFonts w:ascii="Tahoma" w:hAnsi="Tahoma" w:cs="Tahoma"/>
          <w:color w:val="000000" w:themeColor="text1"/>
          <w:sz w:val="22"/>
          <w:szCs w:val="22"/>
        </w:rPr>
        <w:t xml:space="preserve"> cotizaciones.</w:t>
      </w:r>
    </w:p>
    <w:p w:rsidR="005C7EE8" w:rsidRPr="008E6ABD" w:rsidRDefault="00901ED4" w:rsidP="00C969A6">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Verificar que </w:t>
      </w:r>
      <w:r w:rsidR="005C7EE8" w:rsidRPr="008E6ABD">
        <w:rPr>
          <w:rFonts w:ascii="Tahoma" w:hAnsi="Tahoma" w:cs="Tahoma"/>
          <w:color w:val="000000" w:themeColor="text1"/>
          <w:sz w:val="22"/>
          <w:szCs w:val="22"/>
        </w:rPr>
        <w:t>las operaciones</w:t>
      </w:r>
      <w:r w:rsidRPr="008E6ABD">
        <w:rPr>
          <w:rFonts w:ascii="Tahoma" w:hAnsi="Tahoma" w:cs="Tahoma"/>
          <w:color w:val="000000" w:themeColor="text1"/>
          <w:sz w:val="22"/>
          <w:szCs w:val="22"/>
        </w:rPr>
        <w:t xml:space="preserve"> se </w:t>
      </w:r>
      <w:r w:rsidR="005176FD" w:rsidRPr="008E6ABD">
        <w:rPr>
          <w:rFonts w:ascii="Tahoma" w:hAnsi="Tahoma" w:cs="Tahoma"/>
          <w:color w:val="000000" w:themeColor="text1"/>
          <w:sz w:val="22"/>
          <w:szCs w:val="22"/>
        </w:rPr>
        <w:t>concierten</w:t>
      </w:r>
      <w:r w:rsidRPr="008E6ABD">
        <w:rPr>
          <w:rFonts w:ascii="Tahoma" w:hAnsi="Tahoma" w:cs="Tahoma"/>
          <w:color w:val="000000" w:themeColor="text1"/>
          <w:sz w:val="22"/>
          <w:szCs w:val="22"/>
        </w:rPr>
        <w:t xml:space="preserve"> de conforme a las política</w:t>
      </w:r>
      <w:r w:rsidR="004141B5" w:rsidRPr="008E6ABD">
        <w:rPr>
          <w:rFonts w:ascii="Tahoma" w:hAnsi="Tahoma" w:cs="Tahoma"/>
          <w:color w:val="000000" w:themeColor="text1"/>
          <w:sz w:val="22"/>
          <w:szCs w:val="22"/>
        </w:rPr>
        <w:t>s</w:t>
      </w:r>
      <w:r w:rsidRPr="008E6ABD">
        <w:rPr>
          <w:rFonts w:ascii="Tahoma" w:hAnsi="Tahoma" w:cs="Tahoma"/>
          <w:color w:val="000000" w:themeColor="text1"/>
          <w:sz w:val="22"/>
          <w:szCs w:val="22"/>
        </w:rPr>
        <w:t xml:space="preserve"> de mejor ejecución</w:t>
      </w:r>
      <w:r w:rsidR="005C7EE8" w:rsidRPr="008E6ABD">
        <w:rPr>
          <w:rFonts w:ascii="Tahoma" w:hAnsi="Tahoma" w:cs="Tahoma"/>
          <w:color w:val="000000" w:themeColor="text1"/>
          <w:sz w:val="22"/>
          <w:szCs w:val="22"/>
        </w:rPr>
        <w:t xml:space="preserve"> </w:t>
      </w:r>
    </w:p>
    <w:p w:rsidR="00380C6C" w:rsidRPr="008E6ABD" w:rsidRDefault="005C7EE8" w:rsidP="00C969A6">
      <w:pPr>
        <w:pStyle w:val="VIETA1"/>
        <w:numPr>
          <w:ilvl w:val="0"/>
          <w:numId w:val="9"/>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Cuidar que las operaciones con las contrapartes no violen los limites internos de operación por contraparte</w:t>
      </w:r>
      <w:r w:rsidR="008E6ABD">
        <w:rPr>
          <w:rFonts w:ascii="Tahoma" w:hAnsi="Tahoma" w:cs="Tahoma"/>
          <w:color w:val="000000" w:themeColor="text1"/>
          <w:sz w:val="22"/>
          <w:szCs w:val="22"/>
        </w:rPr>
        <w:t>.</w:t>
      </w:r>
    </w:p>
    <w:p w:rsidR="00380C6C" w:rsidRPr="008E6ABD" w:rsidRDefault="005C7EE8" w:rsidP="008E6ABD">
      <w:pPr>
        <w:pStyle w:val="VIETA1"/>
        <w:numPr>
          <w:ilvl w:val="0"/>
          <w:numId w:val="9"/>
        </w:numPr>
        <w:spacing w:after="160"/>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Revisar que la </w:t>
      </w:r>
      <w:r w:rsidR="00380C6C" w:rsidRPr="008E6ABD">
        <w:rPr>
          <w:rFonts w:ascii="Tahoma" w:hAnsi="Tahoma" w:cs="Tahoma"/>
          <w:color w:val="000000" w:themeColor="text1"/>
          <w:sz w:val="22"/>
          <w:szCs w:val="22"/>
        </w:rPr>
        <w:t xml:space="preserve">bitácora </w:t>
      </w:r>
      <w:r w:rsidRPr="008E6ABD">
        <w:rPr>
          <w:rFonts w:ascii="Tahoma" w:hAnsi="Tahoma" w:cs="Tahoma"/>
          <w:color w:val="000000" w:themeColor="text1"/>
          <w:sz w:val="22"/>
          <w:szCs w:val="22"/>
        </w:rPr>
        <w:t>está actualizada con las cotizaciones y ordenes al cierre de cada día</w:t>
      </w:r>
      <w:r w:rsidR="008E6ABD">
        <w:rPr>
          <w:rFonts w:ascii="Tahoma" w:hAnsi="Tahoma" w:cs="Tahoma"/>
          <w:color w:val="000000" w:themeColor="text1"/>
          <w:sz w:val="22"/>
          <w:szCs w:val="22"/>
        </w:rPr>
        <w:t>.</w:t>
      </w:r>
    </w:p>
    <w:p w:rsidR="00AB4A7F" w:rsidRPr="008E6ABD" w:rsidRDefault="00AB4A7F"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Política de Mejores Prácticas de Operación</w:t>
      </w:r>
    </w:p>
    <w:p w:rsidR="00AB4A7F" w:rsidRPr="008E6ABD" w:rsidRDefault="00AB4A7F"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La presente política busca la mejor ejecución de los instrumentos financieros dependiendo de diversos factores:</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Contraparte</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Precios y Tasas</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Liquidez</w:t>
      </w:r>
    </w:p>
    <w:p w:rsidR="00AB4A7F" w:rsidRPr="008E6ABD" w:rsidRDefault="00AB4A7F" w:rsidP="00C969A6">
      <w:pPr>
        <w:pStyle w:val="VIETA1"/>
        <w:numPr>
          <w:ilvl w:val="0"/>
          <w:numId w:val="10"/>
        </w:numPr>
        <w:ind w:left="720" w:right="0"/>
        <w:rPr>
          <w:rFonts w:ascii="Tahoma" w:hAnsi="Tahoma" w:cs="Tahoma"/>
          <w:color w:val="000000" w:themeColor="text1"/>
          <w:sz w:val="22"/>
          <w:szCs w:val="22"/>
        </w:rPr>
      </w:pPr>
      <w:r w:rsidRPr="008E6ABD">
        <w:rPr>
          <w:rFonts w:ascii="Tahoma" w:hAnsi="Tahoma" w:cs="Tahoma"/>
          <w:color w:val="000000" w:themeColor="text1"/>
          <w:sz w:val="22"/>
          <w:szCs w:val="22"/>
        </w:rPr>
        <w:t>Riesgo Contraparte</w:t>
      </w:r>
    </w:p>
    <w:p w:rsidR="00AB4A7F" w:rsidRPr="008E6ABD" w:rsidRDefault="00AB4A7F" w:rsidP="008E6ABD">
      <w:pPr>
        <w:pStyle w:val="VIETA1"/>
        <w:numPr>
          <w:ilvl w:val="0"/>
          <w:numId w:val="10"/>
        </w:numPr>
        <w:spacing w:after="160"/>
        <w:ind w:left="714" w:right="0" w:hanging="357"/>
        <w:rPr>
          <w:rFonts w:ascii="Tahoma" w:hAnsi="Tahoma" w:cs="Tahoma"/>
          <w:color w:val="000000" w:themeColor="text1"/>
          <w:sz w:val="22"/>
          <w:szCs w:val="22"/>
        </w:rPr>
      </w:pPr>
      <w:r w:rsidRPr="008E6ABD">
        <w:rPr>
          <w:rFonts w:ascii="Tahoma" w:hAnsi="Tahoma" w:cs="Tahoma"/>
          <w:color w:val="000000" w:themeColor="text1"/>
          <w:sz w:val="22"/>
          <w:szCs w:val="22"/>
        </w:rPr>
        <w:t>Riesgo Operativo</w:t>
      </w:r>
    </w:p>
    <w:p w:rsidR="00AB4A7F" w:rsidRPr="008E6ABD" w:rsidRDefault="00AB4A7F"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lastRenderedPageBreak/>
        <w:t>Para esto</w:t>
      </w:r>
      <w:r w:rsidR="005176FD"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r w:rsidR="00E609FB" w:rsidRPr="008E6ABD">
        <w:rPr>
          <w:rFonts w:ascii="Tahoma" w:hAnsi="Tahoma" w:cs="Tahoma"/>
          <w:color w:val="000000" w:themeColor="text1"/>
          <w:sz w:val="22"/>
          <w:szCs w:val="22"/>
        </w:rPr>
        <w:t>se debe</w:t>
      </w:r>
      <w:r w:rsidR="005176FD" w:rsidRPr="008E6ABD">
        <w:rPr>
          <w:rFonts w:ascii="Tahoma" w:hAnsi="Tahoma" w:cs="Tahoma"/>
          <w:color w:val="000000" w:themeColor="text1"/>
          <w:sz w:val="22"/>
          <w:szCs w:val="22"/>
        </w:rPr>
        <w:t>n</w:t>
      </w:r>
      <w:r w:rsidR="00E609FB"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 xml:space="preserve">seguir </w:t>
      </w:r>
      <w:r w:rsidR="005176FD" w:rsidRPr="008E6ABD">
        <w:rPr>
          <w:rFonts w:ascii="Tahoma" w:hAnsi="Tahoma" w:cs="Tahoma"/>
          <w:color w:val="000000" w:themeColor="text1"/>
          <w:sz w:val="22"/>
          <w:szCs w:val="22"/>
        </w:rPr>
        <w:t xml:space="preserve">los </w:t>
      </w:r>
      <w:r w:rsidRPr="008E6ABD">
        <w:rPr>
          <w:rFonts w:ascii="Tahoma" w:hAnsi="Tahoma" w:cs="Tahoma"/>
          <w:color w:val="000000" w:themeColor="text1"/>
          <w:sz w:val="22"/>
          <w:szCs w:val="22"/>
        </w:rPr>
        <w:t xml:space="preserve">pasos </w:t>
      </w:r>
      <w:r w:rsidR="00E90563" w:rsidRPr="008E6ABD">
        <w:rPr>
          <w:rFonts w:ascii="Tahoma" w:hAnsi="Tahoma" w:cs="Tahoma"/>
          <w:color w:val="000000" w:themeColor="text1"/>
          <w:sz w:val="22"/>
          <w:szCs w:val="22"/>
        </w:rPr>
        <w:t xml:space="preserve">descritos en el presente apartado </w:t>
      </w:r>
      <w:r w:rsidRPr="008E6ABD">
        <w:rPr>
          <w:rFonts w:ascii="Tahoma" w:hAnsi="Tahoma" w:cs="Tahoma"/>
          <w:color w:val="000000" w:themeColor="text1"/>
          <w:sz w:val="22"/>
          <w:szCs w:val="22"/>
        </w:rPr>
        <w:t xml:space="preserve">para </w:t>
      </w:r>
      <w:r w:rsidR="005176FD" w:rsidRPr="008E6ABD">
        <w:rPr>
          <w:rFonts w:ascii="Tahoma" w:hAnsi="Tahoma" w:cs="Tahoma"/>
          <w:color w:val="000000" w:themeColor="text1"/>
          <w:sz w:val="22"/>
          <w:szCs w:val="22"/>
        </w:rPr>
        <w:t>la</w:t>
      </w:r>
      <w:r w:rsidRPr="008E6ABD">
        <w:rPr>
          <w:rFonts w:ascii="Tahoma" w:hAnsi="Tahoma" w:cs="Tahoma"/>
          <w:color w:val="000000" w:themeColor="text1"/>
          <w:sz w:val="22"/>
          <w:szCs w:val="22"/>
        </w:rPr>
        <w:t xml:space="preserve"> toma </w:t>
      </w:r>
      <w:r w:rsidR="005176FD" w:rsidRPr="008E6ABD">
        <w:rPr>
          <w:rFonts w:ascii="Tahoma" w:hAnsi="Tahoma" w:cs="Tahoma"/>
          <w:color w:val="000000" w:themeColor="text1"/>
          <w:sz w:val="22"/>
          <w:szCs w:val="22"/>
        </w:rPr>
        <w:t xml:space="preserve">de </w:t>
      </w:r>
      <w:r w:rsidRPr="008E6ABD">
        <w:rPr>
          <w:rFonts w:ascii="Tahoma" w:hAnsi="Tahoma" w:cs="Tahoma"/>
          <w:color w:val="000000" w:themeColor="text1"/>
          <w:sz w:val="22"/>
          <w:szCs w:val="22"/>
        </w:rPr>
        <w:t>las mejores decisiones cuando se busque operar. Los siguientes puntos definirán la presente política a la que se apegar</w:t>
      </w:r>
      <w:r w:rsidR="004141B5" w:rsidRPr="008E6ABD">
        <w:rPr>
          <w:rFonts w:ascii="Tahoma" w:hAnsi="Tahoma" w:cs="Tahoma"/>
          <w:color w:val="000000" w:themeColor="text1"/>
          <w:sz w:val="22"/>
          <w:szCs w:val="22"/>
        </w:rPr>
        <w:t>á</w:t>
      </w:r>
      <w:r w:rsidRPr="008E6ABD">
        <w:rPr>
          <w:rFonts w:ascii="Tahoma" w:hAnsi="Tahoma" w:cs="Tahoma"/>
          <w:color w:val="000000" w:themeColor="text1"/>
          <w:sz w:val="22"/>
          <w:szCs w:val="22"/>
        </w:rPr>
        <w:t xml:space="preserve">n los operadores de inversiones y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w:t>
      </w:r>
    </w:p>
    <w:p w:rsidR="00D82A10" w:rsidRPr="008E6ABD" w:rsidRDefault="00D82A10" w:rsidP="008E6ABD">
      <w:pPr>
        <w:pStyle w:val="VIETA1"/>
        <w:numPr>
          <w:ilvl w:val="1"/>
          <w:numId w:val="8"/>
        </w:numPr>
        <w:spacing w:after="160"/>
        <w:ind w:left="357" w:right="0"/>
        <w:rPr>
          <w:rFonts w:ascii="Tahoma" w:hAnsi="Tahoma" w:cs="Tahoma"/>
          <w:b/>
          <w:color w:val="000000" w:themeColor="text1"/>
          <w:sz w:val="22"/>
          <w:szCs w:val="22"/>
        </w:rPr>
      </w:pPr>
      <w:r w:rsidRPr="008E6ABD">
        <w:rPr>
          <w:rFonts w:ascii="Tahoma" w:hAnsi="Tahoma" w:cs="Tahoma"/>
          <w:b/>
          <w:color w:val="000000" w:themeColor="text1"/>
          <w:sz w:val="22"/>
          <w:szCs w:val="22"/>
        </w:rPr>
        <w:t>Determinación de Condiciones de Mercado</w:t>
      </w:r>
    </w:p>
    <w:p w:rsidR="00D82A10" w:rsidRPr="008E6ABD" w:rsidRDefault="00D82A10"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Es importante determinar las condiciones de mercado antes de generar cotizaciones. Esto para determinar si las cotizaciones son consistentes con las condiciones que enfrenta el mercado durante la jornada. Para esto se </w:t>
      </w:r>
      <w:r w:rsidR="004C00AB" w:rsidRPr="008E6ABD">
        <w:rPr>
          <w:rFonts w:ascii="Tahoma" w:hAnsi="Tahoma" w:cs="Tahoma"/>
          <w:color w:val="000000" w:themeColor="text1"/>
          <w:sz w:val="22"/>
          <w:szCs w:val="22"/>
        </w:rPr>
        <w:t>tomar</w:t>
      </w:r>
      <w:r w:rsidR="004141B5" w:rsidRPr="008E6ABD">
        <w:rPr>
          <w:rFonts w:ascii="Tahoma" w:hAnsi="Tahoma" w:cs="Tahoma"/>
          <w:color w:val="000000" w:themeColor="text1"/>
          <w:sz w:val="22"/>
          <w:szCs w:val="22"/>
        </w:rPr>
        <w:t>á</w:t>
      </w:r>
      <w:r w:rsidR="004C00AB" w:rsidRPr="008E6ABD">
        <w:rPr>
          <w:rFonts w:ascii="Tahoma" w:hAnsi="Tahoma" w:cs="Tahoma"/>
          <w:color w:val="000000" w:themeColor="text1"/>
          <w:sz w:val="22"/>
          <w:szCs w:val="22"/>
        </w:rPr>
        <w:t>n los siguientes pasos:</w:t>
      </w:r>
    </w:p>
    <w:p w:rsidR="004C00AB" w:rsidRPr="008E6ABD" w:rsidRDefault="004C00AB" w:rsidP="008E6ABD">
      <w:pPr>
        <w:pStyle w:val="VIETA1"/>
        <w:numPr>
          <w:ilvl w:val="0"/>
          <w:numId w:val="0"/>
        </w:numPr>
        <w:spacing w:after="160"/>
        <w:ind w:left="357" w:right="0"/>
        <w:rPr>
          <w:rFonts w:ascii="Tahoma" w:hAnsi="Tahoma" w:cs="Tahoma"/>
          <w:b/>
          <w:color w:val="000000" w:themeColor="text1"/>
          <w:sz w:val="22"/>
          <w:szCs w:val="22"/>
        </w:rPr>
      </w:pPr>
      <w:r w:rsidRPr="008E6ABD">
        <w:rPr>
          <w:rFonts w:ascii="Tahoma" w:hAnsi="Tahoma" w:cs="Tahoma"/>
          <w:b/>
          <w:color w:val="000000" w:themeColor="text1"/>
          <w:sz w:val="22"/>
          <w:szCs w:val="22"/>
        </w:rPr>
        <w:t>Paso 1.</w:t>
      </w:r>
    </w:p>
    <w:p w:rsidR="004C00AB" w:rsidRPr="008E6ABD" w:rsidRDefault="004C00AB" w:rsidP="008E6ABD">
      <w:pPr>
        <w:pStyle w:val="VIETA1"/>
        <w:numPr>
          <w:ilvl w:val="0"/>
          <w:numId w:val="0"/>
        </w:numPr>
        <w:spacing w:after="160"/>
        <w:ind w:left="357" w:right="0"/>
        <w:rPr>
          <w:rFonts w:ascii="Tahoma" w:hAnsi="Tahoma" w:cs="Tahoma"/>
          <w:color w:val="000000" w:themeColor="text1"/>
          <w:sz w:val="22"/>
          <w:szCs w:val="22"/>
        </w:rPr>
      </w:pPr>
      <w:r w:rsidRPr="008E6ABD">
        <w:rPr>
          <w:rFonts w:ascii="Tahoma" w:hAnsi="Tahoma" w:cs="Tahoma"/>
          <w:color w:val="000000" w:themeColor="text1"/>
          <w:sz w:val="22"/>
          <w:szCs w:val="22"/>
        </w:rPr>
        <w:t>Comenzar con un sondeo en el mercado mediante el uso de los sistemas de precio con que se cuenten. Estos pueden ser:</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r w:rsidRPr="008E6ABD">
        <w:rPr>
          <w:rFonts w:ascii="Tahoma" w:hAnsi="Tahoma" w:cs="Tahoma"/>
          <w:color w:val="000000" w:themeColor="text1"/>
          <w:sz w:val="22"/>
          <w:szCs w:val="22"/>
        </w:rPr>
        <w:t>Pantallas de Brokers (</w:t>
      </w:r>
      <w:r w:rsidR="00E90563" w:rsidRPr="008E6ABD">
        <w:rPr>
          <w:rFonts w:ascii="Tahoma" w:hAnsi="Tahoma" w:cs="Tahoma"/>
          <w:color w:val="000000" w:themeColor="text1"/>
          <w:sz w:val="22"/>
          <w:szCs w:val="22"/>
        </w:rPr>
        <w:t>MEI, SIPO y REMATE, entre otras</w:t>
      </w:r>
      <w:r w:rsidRPr="008E6ABD">
        <w:rPr>
          <w:rFonts w:ascii="Tahoma" w:hAnsi="Tahoma" w:cs="Tahoma"/>
          <w:color w:val="000000" w:themeColor="text1"/>
          <w:sz w:val="22"/>
          <w:szCs w:val="22"/>
        </w:rPr>
        <w:t>)</w:t>
      </w:r>
      <w:r w:rsidR="008E6ABD">
        <w:rPr>
          <w:rFonts w:ascii="Tahoma" w:hAnsi="Tahoma" w:cs="Tahoma"/>
          <w:color w:val="000000" w:themeColor="text1"/>
          <w:sz w:val="22"/>
          <w:szCs w:val="22"/>
        </w:rPr>
        <w:t>.</w:t>
      </w:r>
    </w:p>
    <w:p w:rsidR="004C00AB" w:rsidRPr="008E6ABD" w:rsidRDefault="008E6ABD" w:rsidP="00C969A6">
      <w:pPr>
        <w:pStyle w:val="VIETA1"/>
        <w:numPr>
          <w:ilvl w:val="0"/>
          <w:numId w:val="11"/>
        </w:numPr>
        <w:ind w:left="1166" w:right="0"/>
        <w:rPr>
          <w:rFonts w:ascii="Tahoma" w:hAnsi="Tahoma" w:cs="Tahoma"/>
          <w:color w:val="000000" w:themeColor="text1"/>
          <w:sz w:val="22"/>
          <w:szCs w:val="22"/>
        </w:rPr>
      </w:pPr>
      <w:r>
        <w:rPr>
          <w:rFonts w:ascii="Tahoma" w:hAnsi="Tahoma" w:cs="Tahoma"/>
          <w:color w:val="000000" w:themeColor="text1"/>
          <w:sz w:val="22"/>
          <w:szCs w:val="22"/>
        </w:rPr>
        <w:t>Bloomberg.</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r w:rsidRPr="008E6ABD">
        <w:rPr>
          <w:rFonts w:ascii="Tahoma" w:hAnsi="Tahoma" w:cs="Tahoma"/>
          <w:color w:val="000000" w:themeColor="text1"/>
          <w:sz w:val="22"/>
          <w:szCs w:val="22"/>
        </w:rPr>
        <w:t>Sibolsa</w:t>
      </w:r>
      <w:r w:rsid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r w:rsidRPr="008E6ABD">
        <w:rPr>
          <w:rFonts w:ascii="Tahoma" w:hAnsi="Tahoma" w:cs="Tahoma"/>
          <w:color w:val="000000" w:themeColor="text1"/>
          <w:sz w:val="22"/>
          <w:szCs w:val="22"/>
        </w:rPr>
        <w:t>Infosel</w:t>
      </w:r>
      <w:r w:rsid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4C00AB" w:rsidRPr="008E6ABD" w:rsidRDefault="004C00AB" w:rsidP="00C969A6">
      <w:pPr>
        <w:pStyle w:val="VIETA1"/>
        <w:numPr>
          <w:ilvl w:val="0"/>
          <w:numId w:val="11"/>
        </w:numPr>
        <w:ind w:left="1166" w:right="0"/>
        <w:rPr>
          <w:rFonts w:ascii="Tahoma" w:hAnsi="Tahoma" w:cs="Tahoma"/>
          <w:color w:val="000000" w:themeColor="text1"/>
          <w:sz w:val="22"/>
          <w:szCs w:val="22"/>
        </w:rPr>
      </w:pPr>
      <w:r w:rsidRPr="008E6ABD">
        <w:rPr>
          <w:rFonts w:ascii="Tahoma" w:hAnsi="Tahoma" w:cs="Tahoma"/>
          <w:color w:val="000000" w:themeColor="text1"/>
          <w:sz w:val="22"/>
          <w:szCs w:val="22"/>
        </w:rPr>
        <w:t>Pantallas de MexDer</w:t>
      </w:r>
      <w:r w:rsidR="00E90563" w:rsidRPr="008E6ABD">
        <w:rPr>
          <w:rFonts w:ascii="Tahoma" w:hAnsi="Tahoma" w:cs="Tahoma"/>
          <w:color w:val="000000" w:themeColor="text1"/>
          <w:sz w:val="22"/>
          <w:szCs w:val="22"/>
        </w:rPr>
        <w:t>, CME</w:t>
      </w:r>
      <w:r w:rsidRPr="008E6ABD">
        <w:rPr>
          <w:rFonts w:ascii="Tahoma" w:hAnsi="Tahoma" w:cs="Tahoma"/>
          <w:color w:val="000000" w:themeColor="text1"/>
          <w:sz w:val="22"/>
          <w:szCs w:val="22"/>
        </w:rPr>
        <w:t xml:space="preserve"> o Socios Liquidadores</w:t>
      </w:r>
      <w:r w:rsid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p>
    <w:p w:rsidR="00E609FB" w:rsidRPr="008E6ABD" w:rsidRDefault="00E90563" w:rsidP="008E6ABD">
      <w:pPr>
        <w:pStyle w:val="VIETA1"/>
        <w:numPr>
          <w:ilvl w:val="0"/>
          <w:numId w:val="11"/>
        </w:numPr>
        <w:spacing w:after="160"/>
        <w:ind w:left="1166" w:right="0"/>
        <w:rPr>
          <w:rFonts w:ascii="Tahoma" w:hAnsi="Tahoma" w:cs="Tahoma"/>
          <w:color w:val="000000" w:themeColor="text1"/>
          <w:sz w:val="22"/>
          <w:szCs w:val="22"/>
        </w:rPr>
      </w:pPr>
      <w:r w:rsidRPr="008E6ABD">
        <w:rPr>
          <w:rFonts w:ascii="Tahoma" w:hAnsi="Tahoma" w:cs="Tahoma"/>
          <w:color w:val="000000" w:themeColor="text1"/>
          <w:sz w:val="22"/>
          <w:szCs w:val="22"/>
        </w:rPr>
        <w:t>Proveedores de precios</w:t>
      </w:r>
      <w:r w:rsidR="008E6ABD">
        <w:rPr>
          <w:rFonts w:ascii="Tahoma" w:hAnsi="Tahoma" w:cs="Tahoma"/>
          <w:color w:val="000000" w:themeColor="text1"/>
          <w:sz w:val="22"/>
          <w:szCs w:val="22"/>
        </w:rPr>
        <w:t>.</w:t>
      </w:r>
    </w:p>
    <w:p w:rsidR="004C00AB" w:rsidRPr="008E6ABD" w:rsidRDefault="004C00AB" w:rsidP="008E6ABD">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En el caso de derivados privados (Forwards, Opciones y Swaps) se tomar</w:t>
      </w:r>
      <w:r w:rsidR="004141B5" w:rsidRPr="008E6ABD">
        <w:rPr>
          <w:rFonts w:ascii="Tahoma" w:hAnsi="Tahoma" w:cs="Tahoma"/>
          <w:color w:val="000000" w:themeColor="text1"/>
          <w:sz w:val="22"/>
          <w:szCs w:val="22"/>
        </w:rPr>
        <w:t>á</w:t>
      </w:r>
      <w:r w:rsidRPr="008E6ABD">
        <w:rPr>
          <w:rFonts w:ascii="Tahoma" w:hAnsi="Tahoma" w:cs="Tahoma"/>
          <w:color w:val="000000" w:themeColor="text1"/>
          <w:sz w:val="22"/>
          <w:szCs w:val="22"/>
        </w:rPr>
        <w:t>n las variables de mercado como referencia.</w:t>
      </w:r>
    </w:p>
    <w:p w:rsidR="004C00AB" w:rsidRPr="008E6ABD" w:rsidRDefault="004C00AB" w:rsidP="008E6ABD">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Paso 2.</w:t>
      </w:r>
    </w:p>
    <w:p w:rsidR="004C00AB" w:rsidRPr="008E6ABD" w:rsidRDefault="004C00AB" w:rsidP="008E6ABD">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Se llamará a los intermediarios para sondear el mercado en cuanto a liquidez y precios para cotejar con los sistemas. Esto en referencia con deuda gubernamental o privada y derivados ya sea en mercados registrados o privados. Estas llamadas darán información sobre la liquidez que existe en el mercado durante la jornada.</w:t>
      </w:r>
      <w:r w:rsidR="00EF3436" w:rsidRPr="008E6ABD">
        <w:rPr>
          <w:rFonts w:ascii="Tahoma" w:hAnsi="Tahoma" w:cs="Tahoma"/>
          <w:color w:val="000000" w:themeColor="text1"/>
          <w:sz w:val="22"/>
          <w:szCs w:val="22"/>
          <w:highlight w:val="yellow"/>
        </w:rPr>
        <w:t xml:space="preserve"> </w:t>
      </w:r>
    </w:p>
    <w:p w:rsidR="004C00AB" w:rsidRPr="008E6ABD" w:rsidRDefault="004C00AB" w:rsidP="008E6ABD">
      <w:pPr>
        <w:pStyle w:val="VIETA1"/>
        <w:numPr>
          <w:ilvl w:val="0"/>
          <w:numId w:val="0"/>
        </w:numPr>
        <w:spacing w:after="160"/>
        <w:ind w:left="792" w:right="0"/>
        <w:rPr>
          <w:rFonts w:ascii="Tahoma" w:hAnsi="Tahoma" w:cs="Tahoma"/>
          <w:b/>
          <w:color w:val="000000" w:themeColor="text1"/>
          <w:sz w:val="22"/>
          <w:szCs w:val="22"/>
        </w:rPr>
      </w:pPr>
      <w:r w:rsidRPr="008E6ABD">
        <w:rPr>
          <w:rFonts w:ascii="Tahoma" w:hAnsi="Tahoma" w:cs="Tahoma"/>
          <w:b/>
          <w:color w:val="000000" w:themeColor="text1"/>
          <w:sz w:val="22"/>
          <w:szCs w:val="22"/>
        </w:rPr>
        <w:t>Paso 3.</w:t>
      </w:r>
    </w:p>
    <w:p w:rsidR="004C00AB" w:rsidRPr="008E6ABD" w:rsidRDefault="004C00AB" w:rsidP="008E6ABD">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Se determinará el grado de liquidez según la siguiente clasificación:</w:t>
      </w:r>
    </w:p>
    <w:p w:rsidR="0028228D" w:rsidRPr="008E6ABD" w:rsidRDefault="0028228D" w:rsidP="0028228D">
      <w:pPr>
        <w:pStyle w:val="VIETA1"/>
        <w:numPr>
          <w:ilvl w:val="0"/>
          <w:numId w:val="12"/>
        </w:numPr>
        <w:ind w:right="0"/>
        <w:rPr>
          <w:rFonts w:ascii="Tahoma" w:hAnsi="Tahoma" w:cs="Tahoma"/>
          <w:color w:val="000000" w:themeColor="text1"/>
          <w:sz w:val="22"/>
          <w:szCs w:val="22"/>
        </w:rPr>
      </w:pPr>
      <w:r w:rsidRPr="008E6ABD">
        <w:rPr>
          <w:rFonts w:ascii="Tahoma" w:hAnsi="Tahoma" w:cs="Tahoma"/>
          <w:color w:val="000000" w:themeColor="text1"/>
          <w:sz w:val="22"/>
          <w:szCs w:val="22"/>
        </w:rPr>
        <w:t>Nula Liquidez Sin posturas</w:t>
      </w:r>
      <w:r w:rsidR="00262502">
        <w:rPr>
          <w:rFonts w:ascii="Tahoma" w:hAnsi="Tahoma" w:cs="Tahoma"/>
          <w:color w:val="000000" w:themeColor="text1"/>
          <w:sz w:val="22"/>
          <w:szCs w:val="22"/>
        </w:rPr>
        <w:t>.</w:t>
      </w:r>
    </w:p>
    <w:p w:rsidR="0028228D" w:rsidRPr="008E6ABD" w:rsidRDefault="0028228D" w:rsidP="0028228D">
      <w:pPr>
        <w:pStyle w:val="VIETA1"/>
        <w:numPr>
          <w:ilvl w:val="0"/>
          <w:numId w:val="12"/>
        </w:numPr>
        <w:ind w:right="0"/>
        <w:rPr>
          <w:rFonts w:ascii="Tahoma" w:hAnsi="Tahoma" w:cs="Tahoma"/>
          <w:color w:val="000000" w:themeColor="text1"/>
          <w:sz w:val="22"/>
          <w:szCs w:val="22"/>
        </w:rPr>
      </w:pPr>
      <w:r w:rsidRPr="008E6ABD">
        <w:rPr>
          <w:rFonts w:ascii="Tahoma" w:hAnsi="Tahoma" w:cs="Tahoma"/>
          <w:color w:val="000000" w:themeColor="text1"/>
          <w:sz w:val="22"/>
          <w:szCs w:val="22"/>
        </w:rPr>
        <w:t>Baja Li</w:t>
      </w:r>
      <w:r w:rsidR="000E2447" w:rsidRPr="008E6ABD">
        <w:rPr>
          <w:rFonts w:ascii="Tahoma" w:hAnsi="Tahoma" w:cs="Tahoma"/>
          <w:color w:val="000000" w:themeColor="text1"/>
          <w:sz w:val="22"/>
          <w:szCs w:val="22"/>
        </w:rPr>
        <w:t>quidez Posturas por 10 a 50 millones de pesos (mdp)</w:t>
      </w:r>
      <w:r w:rsidR="00262502">
        <w:rPr>
          <w:rFonts w:ascii="Tahoma" w:hAnsi="Tahoma" w:cs="Tahoma"/>
          <w:color w:val="000000" w:themeColor="text1"/>
          <w:sz w:val="22"/>
          <w:szCs w:val="22"/>
        </w:rPr>
        <w:t>.</w:t>
      </w:r>
    </w:p>
    <w:p w:rsidR="0028228D" w:rsidRPr="008E6ABD" w:rsidRDefault="0028228D" w:rsidP="0028228D">
      <w:pPr>
        <w:pStyle w:val="VIETA1"/>
        <w:numPr>
          <w:ilvl w:val="0"/>
          <w:numId w:val="12"/>
        </w:numPr>
        <w:ind w:right="0"/>
        <w:rPr>
          <w:rFonts w:ascii="Tahoma" w:hAnsi="Tahoma" w:cs="Tahoma"/>
          <w:color w:val="000000" w:themeColor="text1"/>
          <w:sz w:val="22"/>
          <w:szCs w:val="22"/>
        </w:rPr>
      </w:pPr>
      <w:r w:rsidRPr="008E6ABD">
        <w:rPr>
          <w:rFonts w:ascii="Tahoma" w:hAnsi="Tahoma" w:cs="Tahoma"/>
          <w:color w:val="000000" w:themeColor="text1"/>
          <w:sz w:val="22"/>
          <w:szCs w:val="22"/>
        </w:rPr>
        <w:t>Liquidez Normal Posturas por 100 a 500 mdp</w:t>
      </w:r>
      <w:r w:rsidR="00262502">
        <w:rPr>
          <w:rFonts w:ascii="Tahoma" w:hAnsi="Tahoma" w:cs="Tahoma"/>
          <w:color w:val="000000" w:themeColor="text1"/>
          <w:sz w:val="22"/>
          <w:szCs w:val="22"/>
        </w:rPr>
        <w:t>.</w:t>
      </w:r>
    </w:p>
    <w:p w:rsidR="0028228D" w:rsidRPr="008E6ABD" w:rsidRDefault="0028228D" w:rsidP="00262502">
      <w:pPr>
        <w:pStyle w:val="VIETA1"/>
        <w:numPr>
          <w:ilvl w:val="0"/>
          <w:numId w:val="12"/>
        </w:numPr>
        <w:spacing w:after="160"/>
        <w:ind w:left="1508" w:right="0"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Alta </w:t>
      </w:r>
      <w:r w:rsidR="000E2447" w:rsidRPr="008E6ABD">
        <w:rPr>
          <w:rFonts w:ascii="Tahoma" w:hAnsi="Tahoma" w:cs="Tahoma"/>
          <w:color w:val="000000" w:themeColor="text1"/>
          <w:sz w:val="22"/>
          <w:szCs w:val="22"/>
        </w:rPr>
        <w:t>Liquidez posturas por 1,000 mdp</w:t>
      </w:r>
      <w:r w:rsidR="00262502">
        <w:rPr>
          <w:rFonts w:ascii="Tahoma" w:hAnsi="Tahoma" w:cs="Tahoma"/>
          <w:color w:val="000000" w:themeColor="text1"/>
          <w:sz w:val="22"/>
          <w:szCs w:val="22"/>
        </w:rPr>
        <w:t>.</w:t>
      </w:r>
    </w:p>
    <w:p w:rsidR="009632A0" w:rsidRPr="008E6ABD" w:rsidRDefault="009632A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Esto se compara también con los diferenciales en tasas y acciones. En un escenario de Liquidez Normal, los diferenciales de tasas en bonos gubernamentales llegan a ser de hasta 4 pbs y en corporativos de hasta 10 pbs. Cuando los diferenciales superan los mencionados, la Liquidez puede ser baja o nula.</w:t>
      </w:r>
    </w:p>
    <w:p w:rsidR="00AB4A7F" w:rsidRPr="008E6ABD" w:rsidRDefault="00D40B98"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Determinación de Cotizaciones</w:t>
      </w:r>
    </w:p>
    <w:p w:rsidR="007E7542" w:rsidRPr="008E6ABD" w:rsidRDefault="007E7542"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Este apartado aplica principalmente para instrumentos de deuda gubernamentales o privados y derivados </w:t>
      </w:r>
      <w:r w:rsidR="009B2449" w:rsidRPr="008E6ABD">
        <w:rPr>
          <w:rFonts w:ascii="Tahoma" w:hAnsi="Tahoma" w:cs="Tahoma"/>
          <w:i/>
          <w:color w:val="000000" w:themeColor="text1"/>
          <w:sz w:val="22"/>
          <w:szCs w:val="22"/>
        </w:rPr>
        <w:t>Over The Counter</w:t>
      </w:r>
      <w:r w:rsidR="009B2449"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OTCs</w:t>
      </w:r>
      <w:r w:rsidR="009B2449"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debido a que los instrumentos de Renta Variable, FIBRAs y Derivados Listados cuentan con mercados regulados para la publicación de precios al instante. </w:t>
      </w:r>
      <w:r w:rsidR="000B1331" w:rsidRPr="008E6ABD">
        <w:rPr>
          <w:rFonts w:ascii="Tahoma" w:hAnsi="Tahoma" w:cs="Tahoma"/>
          <w:color w:val="000000" w:themeColor="text1"/>
          <w:sz w:val="22"/>
          <w:szCs w:val="22"/>
        </w:rPr>
        <w:t xml:space="preserve">El apartado de “Consideraciones de Excepción para la </w:t>
      </w:r>
      <w:r w:rsidR="000B1331" w:rsidRPr="008E6ABD">
        <w:rPr>
          <w:rFonts w:ascii="Tahoma" w:hAnsi="Tahoma" w:cs="Tahoma"/>
          <w:color w:val="000000" w:themeColor="text1"/>
          <w:sz w:val="22"/>
          <w:szCs w:val="22"/>
        </w:rPr>
        <w:lastRenderedPageBreak/>
        <w:t>revisión de Liquidez y Cotizaciones” presenta los casos y como se procederá para poner la orden en caso de subastas primarias o de instrumentos en mercados listados.</w:t>
      </w:r>
    </w:p>
    <w:p w:rsidR="00D40B98" w:rsidRPr="008E6ABD" w:rsidRDefault="009632A0"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Una vez determinado la Liquidez del mercado, se puede proceder a tomar </w:t>
      </w:r>
      <w:r w:rsidR="00D40B98" w:rsidRPr="008E6ABD">
        <w:rPr>
          <w:rFonts w:ascii="Tahoma" w:hAnsi="Tahoma" w:cs="Tahoma"/>
          <w:color w:val="000000" w:themeColor="text1"/>
          <w:sz w:val="22"/>
          <w:szCs w:val="22"/>
        </w:rPr>
        <w:t>cotizaciones</w:t>
      </w:r>
      <w:r w:rsidRPr="008E6ABD">
        <w:rPr>
          <w:rFonts w:ascii="Tahoma" w:hAnsi="Tahoma" w:cs="Tahoma"/>
          <w:color w:val="000000" w:themeColor="text1"/>
          <w:sz w:val="22"/>
          <w:szCs w:val="22"/>
        </w:rPr>
        <w:t xml:space="preserve"> de los instrumentos. Para esto se debe de seguir varios pasos</w:t>
      </w:r>
      <w:r w:rsidR="00D40B98" w:rsidRPr="008E6ABD">
        <w:rPr>
          <w:rFonts w:ascii="Tahoma" w:hAnsi="Tahoma" w:cs="Tahoma"/>
          <w:color w:val="000000" w:themeColor="text1"/>
          <w:sz w:val="22"/>
          <w:szCs w:val="22"/>
        </w:rPr>
        <w:t>.</w:t>
      </w:r>
    </w:p>
    <w:p w:rsidR="00D82A10" w:rsidRPr="008E6ABD" w:rsidRDefault="00D82A10" w:rsidP="00262502">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Paso </w:t>
      </w:r>
      <w:r w:rsidR="009632A0" w:rsidRPr="008E6ABD">
        <w:rPr>
          <w:rFonts w:ascii="Tahoma" w:hAnsi="Tahoma" w:cs="Tahoma"/>
          <w:b/>
          <w:color w:val="000000" w:themeColor="text1"/>
          <w:sz w:val="22"/>
          <w:szCs w:val="22"/>
        </w:rPr>
        <w:t>1</w:t>
      </w:r>
      <w:r w:rsidRPr="008E6ABD">
        <w:rPr>
          <w:rFonts w:ascii="Tahoma" w:hAnsi="Tahoma" w:cs="Tahoma"/>
          <w:b/>
          <w:color w:val="000000" w:themeColor="text1"/>
          <w:sz w:val="22"/>
          <w:szCs w:val="22"/>
        </w:rPr>
        <w:t>.</w:t>
      </w:r>
    </w:p>
    <w:p w:rsidR="00D40B98" w:rsidRPr="008E6ABD" w:rsidRDefault="00D82A1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S</w:t>
      </w:r>
      <w:r w:rsidR="00D40B98" w:rsidRPr="008E6ABD">
        <w:rPr>
          <w:rFonts w:ascii="Tahoma" w:hAnsi="Tahoma" w:cs="Tahoma"/>
          <w:color w:val="000000" w:themeColor="text1"/>
          <w:sz w:val="22"/>
          <w:szCs w:val="22"/>
        </w:rPr>
        <w:t>e llamará al menos (</w:t>
      </w:r>
      <w:r w:rsidRPr="008E6ABD">
        <w:rPr>
          <w:rFonts w:ascii="Tahoma" w:hAnsi="Tahoma" w:cs="Tahoma"/>
          <w:color w:val="000000" w:themeColor="text1"/>
          <w:sz w:val="22"/>
          <w:szCs w:val="22"/>
        </w:rPr>
        <w:t>3</w:t>
      </w:r>
      <w:r w:rsidR="00D40B98"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tres</w:t>
      </w:r>
      <w:r w:rsidR="00D40B98" w:rsidRPr="008E6ABD">
        <w:rPr>
          <w:rFonts w:ascii="Tahoma" w:hAnsi="Tahoma" w:cs="Tahoma"/>
          <w:color w:val="000000" w:themeColor="text1"/>
          <w:sz w:val="22"/>
          <w:szCs w:val="22"/>
        </w:rPr>
        <w:t xml:space="preserve"> intermediarios por instrumento a cotizar. Se define como instrumento específico al conjunto de tipo de valor, emisor y serie. En caso de que exista alguna diferencia en cualquiera de estos (3) tres identificadores (tipo de valor, emisor y serie) se tomara como otro instrumento.</w:t>
      </w:r>
      <w:r w:rsidRPr="008E6ABD">
        <w:rPr>
          <w:rFonts w:ascii="Tahoma" w:hAnsi="Tahoma" w:cs="Tahoma"/>
          <w:color w:val="000000" w:themeColor="text1"/>
          <w:sz w:val="22"/>
          <w:szCs w:val="22"/>
        </w:rPr>
        <w:t xml:space="preserve"> El número de cotizaciones que se deberán de efectuar será de la siguiente forma:</w:t>
      </w:r>
    </w:p>
    <w:p w:rsidR="00D82A10" w:rsidRPr="008E6ABD" w:rsidRDefault="00D82A10" w:rsidP="00262502">
      <w:pPr>
        <w:pStyle w:val="VIETA1"/>
        <w:numPr>
          <w:ilvl w:val="0"/>
          <w:numId w:val="0"/>
        </w:numPr>
        <w:spacing w:after="160"/>
        <w:ind w:left="810" w:right="0"/>
        <w:rPr>
          <w:rFonts w:ascii="Tahoma" w:hAnsi="Tahoma" w:cs="Tahoma"/>
          <w:color w:val="000000" w:themeColor="text1"/>
          <w:sz w:val="22"/>
          <w:szCs w:val="22"/>
        </w:rPr>
      </w:pPr>
      <m:oMathPara>
        <m:oMath>
          <m:r>
            <w:rPr>
              <w:rFonts w:ascii="Cambria Math" w:hAnsi="Cambria Math" w:cs="Tahoma"/>
              <w:color w:val="000000" w:themeColor="text1"/>
              <w:sz w:val="22"/>
              <w:szCs w:val="22"/>
            </w:rPr>
            <m:t># de cotizaciones=# de operaciones de un instrumento+2 cotizaciones adicionales</m:t>
          </m:r>
        </m:oMath>
      </m:oMathPara>
    </w:p>
    <w:p w:rsidR="00D82A10" w:rsidRPr="008E6ABD" w:rsidRDefault="00D82A1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Cabe destacar que cada operación incluye 1 cotización y se dejan dos cotizaciones fuera las cuales son más elevadas en caso de posturas de compra o bajas en caso de posturas de venta.</w:t>
      </w:r>
    </w:p>
    <w:p w:rsidR="00D40B98" w:rsidRPr="008E6ABD" w:rsidRDefault="00D82A10" w:rsidP="00262502">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Paso </w:t>
      </w:r>
      <w:r w:rsidR="009632A0" w:rsidRPr="008E6ABD">
        <w:rPr>
          <w:rFonts w:ascii="Tahoma" w:hAnsi="Tahoma" w:cs="Tahoma"/>
          <w:b/>
          <w:color w:val="000000" w:themeColor="text1"/>
          <w:sz w:val="22"/>
          <w:szCs w:val="22"/>
        </w:rPr>
        <w:t>2</w:t>
      </w:r>
      <w:r w:rsidRPr="008E6ABD">
        <w:rPr>
          <w:rFonts w:ascii="Tahoma" w:hAnsi="Tahoma" w:cs="Tahoma"/>
          <w:b/>
          <w:color w:val="000000" w:themeColor="text1"/>
          <w:sz w:val="22"/>
          <w:szCs w:val="22"/>
        </w:rPr>
        <w:t>.</w:t>
      </w:r>
    </w:p>
    <w:p w:rsidR="00D82A10" w:rsidRPr="008E6ABD" w:rsidRDefault="00D82A10"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Una vez que se obtienen las cotizaciones se procederá </w:t>
      </w:r>
      <w:r w:rsidR="009632A0" w:rsidRPr="008E6ABD">
        <w:rPr>
          <w:rFonts w:ascii="Tahoma" w:hAnsi="Tahoma" w:cs="Tahoma"/>
          <w:color w:val="000000" w:themeColor="text1"/>
          <w:sz w:val="22"/>
          <w:szCs w:val="22"/>
        </w:rPr>
        <w:t xml:space="preserve">a integrarlas a la bitácora del día para </w:t>
      </w:r>
      <w:r w:rsidR="00674E48" w:rsidRPr="008E6ABD">
        <w:rPr>
          <w:rFonts w:ascii="Tahoma" w:hAnsi="Tahoma" w:cs="Tahoma"/>
          <w:color w:val="000000" w:themeColor="text1"/>
          <w:sz w:val="22"/>
          <w:szCs w:val="22"/>
        </w:rPr>
        <w:t>así</w:t>
      </w:r>
      <w:r w:rsidR="009632A0" w:rsidRPr="008E6ABD">
        <w:rPr>
          <w:rFonts w:ascii="Tahoma" w:hAnsi="Tahoma" w:cs="Tahoma"/>
          <w:color w:val="000000" w:themeColor="text1"/>
          <w:sz w:val="22"/>
          <w:szCs w:val="22"/>
        </w:rPr>
        <w:t xml:space="preserve"> </w:t>
      </w:r>
      <w:r w:rsidR="00674E48" w:rsidRPr="008E6ABD">
        <w:rPr>
          <w:rFonts w:ascii="Tahoma" w:hAnsi="Tahoma" w:cs="Tahoma"/>
          <w:color w:val="000000" w:themeColor="text1"/>
          <w:sz w:val="22"/>
          <w:szCs w:val="22"/>
        </w:rPr>
        <w:t>poder proceder a escoger la contraparte y poner las órdenes similares a las cotizaciones</w:t>
      </w:r>
      <w:r w:rsidRPr="008E6ABD">
        <w:rPr>
          <w:rFonts w:ascii="Tahoma" w:hAnsi="Tahoma" w:cs="Tahoma"/>
          <w:color w:val="000000" w:themeColor="text1"/>
          <w:sz w:val="22"/>
          <w:szCs w:val="22"/>
        </w:rPr>
        <w:t>.</w:t>
      </w:r>
    </w:p>
    <w:p w:rsidR="00674E48" w:rsidRPr="008E6ABD" w:rsidRDefault="00674E48" w:rsidP="00262502">
      <w:pPr>
        <w:pStyle w:val="VIETA1"/>
        <w:numPr>
          <w:ilvl w:val="0"/>
          <w:numId w:val="0"/>
        </w:numPr>
        <w:spacing w:after="160"/>
        <w:ind w:left="810" w:right="0"/>
        <w:rPr>
          <w:rFonts w:ascii="Tahoma" w:hAnsi="Tahoma" w:cs="Tahoma"/>
          <w:b/>
          <w:color w:val="000000" w:themeColor="text1"/>
          <w:sz w:val="22"/>
          <w:szCs w:val="22"/>
        </w:rPr>
      </w:pPr>
      <w:r w:rsidRPr="008E6ABD">
        <w:rPr>
          <w:rFonts w:ascii="Tahoma" w:hAnsi="Tahoma" w:cs="Tahoma"/>
          <w:b/>
          <w:color w:val="000000" w:themeColor="text1"/>
          <w:sz w:val="22"/>
          <w:szCs w:val="22"/>
        </w:rPr>
        <w:t>Paso 3.</w:t>
      </w:r>
    </w:p>
    <w:p w:rsidR="00674E48" w:rsidRPr="008E6ABD" w:rsidRDefault="00674E48" w:rsidP="00262502">
      <w:pPr>
        <w:pStyle w:val="VIETA1"/>
        <w:numPr>
          <w:ilvl w:val="0"/>
          <w:numId w:val="0"/>
        </w:numPr>
        <w:spacing w:after="160"/>
        <w:ind w:left="81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Las bitácoras deberán de ser visibles al </w:t>
      </w:r>
      <w:r w:rsidR="008E6ABD">
        <w:rPr>
          <w:rFonts w:ascii="Tahoma" w:hAnsi="Tahoma" w:cs="Tahoma"/>
          <w:b/>
          <w:color w:val="000000" w:themeColor="text1"/>
          <w:sz w:val="22"/>
          <w:szCs w:val="22"/>
        </w:rPr>
        <w:t>Gerente de Control del Proceso de Inversión</w:t>
      </w:r>
      <w:r w:rsidR="00D23508"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y a los demás operadores y Portafolio Manager del fondo.</w:t>
      </w:r>
    </w:p>
    <w:p w:rsidR="00D40B98" w:rsidRPr="008E6ABD" w:rsidRDefault="00D40B98"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Elección de las Contrapartes</w:t>
      </w:r>
    </w:p>
    <w:p w:rsidR="00674E48" w:rsidRPr="008E6ABD" w:rsidRDefault="00674E48"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Es muy importante la correcta elección de las contrapartes o ejecutores de las órdenes para poder llevarlas a cabo en cumplimiento a una mejor ejecución. Para esto será necesario lo siguiente:</w:t>
      </w:r>
    </w:p>
    <w:p w:rsidR="00674E48" w:rsidRPr="008E6ABD" w:rsidRDefault="00674E48" w:rsidP="00C969A6">
      <w:pPr>
        <w:pStyle w:val="VIETA1"/>
        <w:numPr>
          <w:ilvl w:val="0"/>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Considerar la Calificación Crediticia de la Contraparte</w:t>
      </w:r>
      <w:r w:rsidR="00262502">
        <w:rPr>
          <w:rFonts w:ascii="Tahoma" w:hAnsi="Tahoma" w:cs="Tahoma"/>
          <w:color w:val="000000" w:themeColor="text1"/>
          <w:sz w:val="22"/>
          <w:szCs w:val="22"/>
        </w:rPr>
        <w:t>.</w:t>
      </w:r>
    </w:p>
    <w:p w:rsidR="00674E48" w:rsidRPr="008E6ABD" w:rsidRDefault="00674E48" w:rsidP="00C969A6">
      <w:pPr>
        <w:pStyle w:val="VIETA1"/>
        <w:numPr>
          <w:ilvl w:val="0"/>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Llevar un registro de las cotizaciones y órdenes ejecutadas para poder determinar:</w:t>
      </w:r>
    </w:p>
    <w:p w:rsidR="00674E48" w:rsidRPr="008E6ABD" w:rsidRDefault="00674E48" w:rsidP="00C969A6">
      <w:pPr>
        <w:pStyle w:val="VIETA1"/>
        <w:numPr>
          <w:ilvl w:val="1"/>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si la contraparte está dando el mejor precio posible</w:t>
      </w:r>
      <w:r w:rsidR="00262502">
        <w:rPr>
          <w:rFonts w:ascii="Tahoma" w:hAnsi="Tahoma" w:cs="Tahoma"/>
          <w:color w:val="000000" w:themeColor="text1"/>
          <w:sz w:val="22"/>
          <w:szCs w:val="22"/>
        </w:rPr>
        <w:t>.</w:t>
      </w:r>
    </w:p>
    <w:p w:rsidR="00674E48" w:rsidRPr="008E6ABD" w:rsidRDefault="00674E48" w:rsidP="00C969A6">
      <w:pPr>
        <w:pStyle w:val="VIETA1"/>
        <w:numPr>
          <w:ilvl w:val="1"/>
          <w:numId w:val="13"/>
        </w:numPr>
        <w:ind w:right="0"/>
        <w:rPr>
          <w:rFonts w:ascii="Tahoma" w:hAnsi="Tahoma" w:cs="Tahoma"/>
          <w:color w:val="000000" w:themeColor="text1"/>
          <w:sz w:val="22"/>
          <w:szCs w:val="22"/>
        </w:rPr>
      </w:pPr>
      <w:r w:rsidRPr="008E6ABD">
        <w:rPr>
          <w:rFonts w:ascii="Tahoma" w:hAnsi="Tahoma" w:cs="Tahoma"/>
          <w:color w:val="000000" w:themeColor="text1"/>
          <w:sz w:val="22"/>
          <w:szCs w:val="22"/>
        </w:rPr>
        <w:t xml:space="preserve">si la contraparte </w:t>
      </w:r>
      <w:r w:rsidR="00FC3A54" w:rsidRPr="008E6ABD">
        <w:rPr>
          <w:rFonts w:ascii="Tahoma" w:hAnsi="Tahoma" w:cs="Tahoma"/>
          <w:color w:val="000000" w:themeColor="text1"/>
          <w:sz w:val="22"/>
          <w:szCs w:val="22"/>
        </w:rPr>
        <w:t>está</w:t>
      </w:r>
      <w:r w:rsidRPr="008E6ABD">
        <w:rPr>
          <w:rFonts w:ascii="Tahoma" w:hAnsi="Tahoma" w:cs="Tahoma"/>
          <w:color w:val="000000" w:themeColor="text1"/>
          <w:sz w:val="22"/>
          <w:szCs w:val="22"/>
        </w:rPr>
        <w:t xml:space="preserve"> pudiendo realizar la totalidad de la orden</w:t>
      </w:r>
      <w:r w:rsidR="00262502">
        <w:rPr>
          <w:rFonts w:ascii="Tahoma" w:hAnsi="Tahoma" w:cs="Tahoma"/>
          <w:color w:val="000000" w:themeColor="text1"/>
          <w:sz w:val="22"/>
          <w:szCs w:val="22"/>
        </w:rPr>
        <w:t>.</w:t>
      </w:r>
    </w:p>
    <w:p w:rsidR="00674E48" w:rsidRPr="008E6ABD" w:rsidRDefault="00674E48" w:rsidP="00262502">
      <w:pPr>
        <w:pStyle w:val="VIETA1"/>
        <w:numPr>
          <w:ilvl w:val="0"/>
          <w:numId w:val="13"/>
        </w:numPr>
        <w:spacing w:after="160"/>
        <w:ind w:right="0"/>
        <w:rPr>
          <w:rFonts w:ascii="Tahoma" w:hAnsi="Tahoma" w:cs="Tahoma"/>
          <w:color w:val="000000" w:themeColor="text1"/>
          <w:sz w:val="22"/>
          <w:szCs w:val="22"/>
        </w:rPr>
      </w:pPr>
      <w:r w:rsidRPr="008E6ABD">
        <w:rPr>
          <w:rFonts w:ascii="Tahoma" w:hAnsi="Tahoma" w:cs="Tahoma"/>
          <w:color w:val="000000" w:themeColor="text1"/>
          <w:sz w:val="22"/>
          <w:szCs w:val="22"/>
        </w:rPr>
        <w:t>Llevar un registro en caso de que se haya suscitado algún evento de riesgo operativo con alguna orden</w:t>
      </w:r>
      <w:r w:rsidR="00262502">
        <w:rPr>
          <w:rFonts w:ascii="Tahoma" w:hAnsi="Tahoma" w:cs="Tahoma"/>
          <w:color w:val="000000" w:themeColor="text1"/>
          <w:sz w:val="22"/>
          <w:szCs w:val="22"/>
        </w:rPr>
        <w:t>.</w:t>
      </w:r>
    </w:p>
    <w:p w:rsidR="00B53B37" w:rsidRPr="008E6ABD" w:rsidRDefault="00B638A7"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De principio, se buscar</w:t>
      </w:r>
      <w:r w:rsidR="00CF1386" w:rsidRPr="008E6ABD">
        <w:rPr>
          <w:rFonts w:ascii="Tahoma" w:hAnsi="Tahoma" w:cs="Tahoma"/>
          <w:color w:val="000000" w:themeColor="text1"/>
          <w:sz w:val="22"/>
          <w:szCs w:val="22"/>
        </w:rPr>
        <w:t>á</w:t>
      </w:r>
      <w:r w:rsidRPr="008E6ABD">
        <w:rPr>
          <w:rFonts w:ascii="Tahoma" w:hAnsi="Tahoma" w:cs="Tahoma"/>
          <w:color w:val="000000" w:themeColor="text1"/>
          <w:sz w:val="22"/>
          <w:szCs w:val="22"/>
        </w:rPr>
        <w:t xml:space="preserve"> operar con el que mejor cotización de a los operadores. Sin embargo, a medida que se tenga información, se buscara no </w:t>
      </w:r>
      <w:r w:rsidR="00CF1386" w:rsidRPr="008E6ABD">
        <w:rPr>
          <w:rFonts w:ascii="Tahoma" w:hAnsi="Tahoma" w:cs="Tahoma"/>
          <w:color w:val="000000" w:themeColor="text1"/>
          <w:sz w:val="22"/>
          <w:szCs w:val="22"/>
        </w:rPr>
        <w:t>concentrar</w:t>
      </w:r>
      <w:r w:rsidRPr="008E6ABD">
        <w:rPr>
          <w:rFonts w:ascii="Tahoma" w:hAnsi="Tahoma" w:cs="Tahoma"/>
          <w:color w:val="000000" w:themeColor="text1"/>
          <w:sz w:val="22"/>
          <w:szCs w:val="22"/>
        </w:rPr>
        <w:t xml:space="preserve"> las transacciones </w:t>
      </w:r>
      <w:r w:rsidR="00CF1386" w:rsidRPr="008E6ABD">
        <w:rPr>
          <w:rFonts w:ascii="Tahoma" w:hAnsi="Tahoma" w:cs="Tahoma"/>
          <w:color w:val="000000" w:themeColor="text1"/>
          <w:sz w:val="22"/>
          <w:szCs w:val="22"/>
        </w:rPr>
        <w:t>con una sola contraparte, por lo que se deberán de apegar a los límites establecidos en esta política</w:t>
      </w:r>
      <w:r w:rsidR="00DB6AB3" w:rsidRPr="008E6ABD">
        <w:rPr>
          <w:rFonts w:ascii="Tahoma" w:hAnsi="Tahoma" w:cs="Tahoma"/>
          <w:color w:val="000000" w:themeColor="text1"/>
          <w:sz w:val="22"/>
          <w:szCs w:val="22"/>
        </w:rPr>
        <w:t>.</w:t>
      </w:r>
    </w:p>
    <w:p w:rsidR="00CF1386" w:rsidRPr="008E6ABD" w:rsidRDefault="00CF1386"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Finalmente, en caso de que se suscite algún evento de riesgo operativo, se buscará aplicar una suspensión de operaciones por un tiempo</w:t>
      </w:r>
      <w:r w:rsidR="00C67255" w:rsidRPr="008E6ABD">
        <w:rPr>
          <w:rFonts w:ascii="Tahoma" w:hAnsi="Tahoma" w:cs="Tahoma"/>
          <w:color w:val="000000" w:themeColor="text1"/>
          <w:sz w:val="22"/>
          <w:szCs w:val="22"/>
        </w:rPr>
        <w:t xml:space="preserve"> el cual se definirá internamente</w:t>
      </w:r>
      <w:r w:rsidRPr="008E6ABD">
        <w:rPr>
          <w:rFonts w:ascii="Tahoma" w:hAnsi="Tahoma" w:cs="Tahoma"/>
          <w:color w:val="000000" w:themeColor="text1"/>
          <w:sz w:val="22"/>
          <w:szCs w:val="22"/>
        </w:rPr>
        <w:t>. Los eventos de riesgo operativo</w:t>
      </w:r>
      <w:r w:rsidR="00D52E5E"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son los siguientes</w:t>
      </w:r>
      <w:r w:rsidR="00D23508"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pero no se limitan a solo estos:</w:t>
      </w:r>
    </w:p>
    <w:p w:rsidR="00CF1386" w:rsidRPr="008E6ABD" w:rsidRDefault="00CF1386" w:rsidP="00C969A6">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t>El precio de ejecución fue diferente al acordado por lo que se causó una perdida</w:t>
      </w:r>
    </w:p>
    <w:p w:rsidR="00CF1386" w:rsidRPr="008E6ABD" w:rsidRDefault="00CF1386" w:rsidP="00C969A6">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lastRenderedPageBreak/>
        <w:t>El monto fue mayor a lo acordado y se violó algún límite interno o bien se quedó con una posición netamente corta</w:t>
      </w:r>
      <w:r w:rsidR="00262502">
        <w:rPr>
          <w:rFonts w:ascii="Tahoma" w:hAnsi="Tahoma" w:cs="Tahoma"/>
          <w:color w:val="000000" w:themeColor="text1"/>
          <w:sz w:val="22"/>
          <w:szCs w:val="22"/>
        </w:rPr>
        <w:t>.</w:t>
      </w:r>
    </w:p>
    <w:p w:rsidR="00E609FB" w:rsidRPr="008E6ABD" w:rsidRDefault="00E609FB" w:rsidP="00E609FB">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t xml:space="preserve">Capturas incorrectas que </w:t>
      </w:r>
      <w:r w:rsidR="00C67255" w:rsidRPr="008E6ABD">
        <w:rPr>
          <w:rFonts w:ascii="Tahoma" w:hAnsi="Tahoma" w:cs="Tahoma"/>
          <w:color w:val="000000" w:themeColor="text1"/>
          <w:sz w:val="22"/>
          <w:szCs w:val="22"/>
        </w:rPr>
        <w:t>atrasen procesos de liquidación</w:t>
      </w:r>
      <w:r w:rsidR="00262502">
        <w:rPr>
          <w:rFonts w:ascii="Tahoma" w:hAnsi="Tahoma" w:cs="Tahoma"/>
          <w:color w:val="000000" w:themeColor="text1"/>
          <w:sz w:val="22"/>
          <w:szCs w:val="22"/>
        </w:rPr>
        <w:t>.</w:t>
      </w:r>
    </w:p>
    <w:p w:rsidR="00CF1386" w:rsidRPr="008E6ABD" w:rsidRDefault="00CF1386" w:rsidP="00C969A6">
      <w:pPr>
        <w:pStyle w:val="VIETA1"/>
        <w:numPr>
          <w:ilvl w:val="0"/>
          <w:numId w:val="14"/>
        </w:numPr>
        <w:ind w:right="0"/>
        <w:rPr>
          <w:rFonts w:ascii="Tahoma" w:hAnsi="Tahoma" w:cs="Tahoma"/>
          <w:color w:val="000000" w:themeColor="text1"/>
          <w:sz w:val="22"/>
          <w:szCs w:val="22"/>
        </w:rPr>
      </w:pPr>
      <w:r w:rsidRPr="008E6ABD">
        <w:rPr>
          <w:rFonts w:ascii="Tahoma" w:hAnsi="Tahoma" w:cs="Tahoma"/>
          <w:color w:val="000000" w:themeColor="text1"/>
          <w:sz w:val="22"/>
          <w:szCs w:val="22"/>
        </w:rPr>
        <w:t>En la fecha de intercambio de títulos no se pudo realizar el intercambio de dinero por títulos por lo que se genera un desbalance en el portafolio y posible perdida por tener que salir a cubrir este desbalance en el mercado a diferente día</w:t>
      </w:r>
      <w:r w:rsidR="00262502">
        <w:rPr>
          <w:rFonts w:ascii="Tahoma" w:hAnsi="Tahoma" w:cs="Tahoma"/>
          <w:color w:val="000000" w:themeColor="text1"/>
          <w:sz w:val="22"/>
          <w:szCs w:val="22"/>
        </w:rPr>
        <w:t>.</w:t>
      </w:r>
    </w:p>
    <w:p w:rsidR="00CF1386" w:rsidRPr="008E6ABD" w:rsidRDefault="00CF1386" w:rsidP="00262502">
      <w:pPr>
        <w:pStyle w:val="VIETA1"/>
        <w:numPr>
          <w:ilvl w:val="0"/>
          <w:numId w:val="14"/>
        </w:numPr>
        <w:spacing w:after="160"/>
        <w:ind w:left="1508" w:right="0" w:hanging="357"/>
        <w:rPr>
          <w:rFonts w:ascii="Tahoma" w:hAnsi="Tahoma" w:cs="Tahoma"/>
          <w:color w:val="000000" w:themeColor="text1"/>
          <w:sz w:val="22"/>
          <w:szCs w:val="22"/>
        </w:rPr>
      </w:pPr>
      <w:r w:rsidRPr="008E6ABD">
        <w:rPr>
          <w:rFonts w:ascii="Tahoma" w:hAnsi="Tahoma" w:cs="Tahoma"/>
          <w:color w:val="000000" w:themeColor="text1"/>
          <w:sz w:val="22"/>
          <w:szCs w:val="22"/>
        </w:rPr>
        <w:t>Otros que no se hayan determinados aquí</w:t>
      </w:r>
      <w:r w:rsidR="00262502">
        <w:rPr>
          <w:rFonts w:ascii="Tahoma" w:hAnsi="Tahoma" w:cs="Tahoma"/>
          <w:color w:val="000000" w:themeColor="text1"/>
          <w:sz w:val="22"/>
          <w:szCs w:val="22"/>
        </w:rPr>
        <w:t>.</w:t>
      </w:r>
    </w:p>
    <w:p w:rsidR="00674E48" w:rsidRPr="008E6ABD" w:rsidRDefault="00CF1386" w:rsidP="00262502">
      <w:pPr>
        <w:pStyle w:val="VIETA1"/>
        <w:numPr>
          <w:ilvl w:val="0"/>
          <w:numId w:val="0"/>
        </w:numPr>
        <w:spacing w:after="160"/>
        <w:ind w:left="794"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Las sanciones </w:t>
      </w:r>
      <w:r w:rsidR="00821CCE" w:rsidRPr="008E6ABD">
        <w:rPr>
          <w:rFonts w:ascii="Tahoma" w:hAnsi="Tahoma" w:cs="Tahoma"/>
          <w:color w:val="000000" w:themeColor="text1"/>
          <w:sz w:val="22"/>
          <w:szCs w:val="22"/>
        </w:rPr>
        <w:t>a un evento de operación serán</w:t>
      </w:r>
      <w:r w:rsidRPr="008E6ABD">
        <w:rPr>
          <w:rFonts w:ascii="Tahoma" w:hAnsi="Tahoma" w:cs="Tahoma"/>
          <w:color w:val="000000" w:themeColor="text1"/>
          <w:sz w:val="22"/>
          <w:szCs w:val="22"/>
        </w:rPr>
        <w:t xml:space="preserve"> los siguientes:</w:t>
      </w:r>
    </w:p>
    <w:tbl>
      <w:tblPr>
        <w:tblStyle w:val="Tablaconcuadrcula"/>
        <w:tblW w:w="0" w:type="auto"/>
        <w:tblInd w:w="2065" w:type="dxa"/>
        <w:tblLayout w:type="fixed"/>
        <w:tblLook w:val="04A0" w:firstRow="1" w:lastRow="0" w:firstColumn="1" w:lastColumn="0" w:noHBand="0" w:noVBand="1"/>
      </w:tblPr>
      <w:tblGrid>
        <w:gridCol w:w="2325"/>
        <w:gridCol w:w="2835"/>
      </w:tblGrid>
      <w:tr w:rsidR="00262502" w:rsidRPr="00262502" w:rsidTr="00C67255">
        <w:tc>
          <w:tcPr>
            <w:tcW w:w="2325" w:type="dxa"/>
            <w:vAlign w:val="center"/>
          </w:tcPr>
          <w:p w:rsidR="00C67255" w:rsidRPr="00262502" w:rsidRDefault="00C67255" w:rsidP="00821CCE">
            <w:pPr>
              <w:pStyle w:val="VIETA1"/>
              <w:numPr>
                <w:ilvl w:val="0"/>
                <w:numId w:val="0"/>
              </w:numPr>
              <w:spacing w:before="120" w:after="120"/>
              <w:ind w:right="0"/>
              <w:jc w:val="center"/>
              <w:rPr>
                <w:rFonts w:ascii="Tahoma" w:hAnsi="Tahoma" w:cs="Tahoma"/>
                <w:b/>
                <w:sz w:val="22"/>
                <w:szCs w:val="22"/>
              </w:rPr>
            </w:pPr>
            <w:r w:rsidRPr="00262502">
              <w:rPr>
                <w:rFonts w:ascii="Tahoma" w:hAnsi="Tahoma" w:cs="Tahoma"/>
                <w:b/>
                <w:sz w:val="22"/>
                <w:szCs w:val="22"/>
              </w:rPr>
              <w:t>Ocurrencia</w:t>
            </w:r>
          </w:p>
        </w:tc>
        <w:tc>
          <w:tcPr>
            <w:tcW w:w="2835" w:type="dxa"/>
            <w:vAlign w:val="center"/>
          </w:tcPr>
          <w:p w:rsidR="00C67255" w:rsidRPr="00262502" w:rsidRDefault="00C67255" w:rsidP="00821CCE">
            <w:pPr>
              <w:pStyle w:val="VIETA1"/>
              <w:numPr>
                <w:ilvl w:val="0"/>
                <w:numId w:val="0"/>
              </w:numPr>
              <w:spacing w:before="120" w:after="120"/>
              <w:ind w:right="0"/>
              <w:jc w:val="center"/>
              <w:rPr>
                <w:rFonts w:ascii="Tahoma" w:hAnsi="Tahoma" w:cs="Tahoma"/>
                <w:b/>
                <w:sz w:val="22"/>
                <w:szCs w:val="22"/>
              </w:rPr>
            </w:pPr>
            <w:r w:rsidRPr="00262502">
              <w:rPr>
                <w:rFonts w:ascii="Tahoma" w:hAnsi="Tahoma" w:cs="Tahoma"/>
                <w:b/>
                <w:sz w:val="22"/>
                <w:szCs w:val="22"/>
              </w:rPr>
              <w:t>Operación</w:t>
            </w:r>
          </w:p>
        </w:tc>
      </w:tr>
      <w:tr w:rsidR="00C67255" w:rsidRPr="008E6ABD" w:rsidTr="00C67255">
        <w:trPr>
          <w:trHeight w:val="329"/>
        </w:trPr>
        <w:tc>
          <w:tcPr>
            <w:tcW w:w="232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Primera</w:t>
            </w:r>
          </w:p>
        </w:tc>
        <w:tc>
          <w:tcPr>
            <w:tcW w:w="283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 xml:space="preserve">1 meses de suspensión </w:t>
            </w:r>
          </w:p>
        </w:tc>
      </w:tr>
      <w:tr w:rsidR="00C67255" w:rsidRPr="008E6ABD" w:rsidTr="00C67255">
        <w:tc>
          <w:tcPr>
            <w:tcW w:w="232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Segunda</w:t>
            </w:r>
          </w:p>
        </w:tc>
        <w:tc>
          <w:tcPr>
            <w:tcW w:w="283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 xml:space="preserve">3 meses de suspensión </w:t>
            </w:r>
          </w:p>
        </w:tc>
      </w:tr>
      <w:tr w:rsidR="00C67255" w:rsidRPr="008E6ABD" w:rsidTr="00C67255">
        <w:tc>
          <w:tcPr>
            <w:tcW w:w="232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Tercera</w:t>
            </w:r>
          </w:p>
        </w:tc>
        <w:tc>
          <w:tcPr>
            <w:tcW w:w="2835" w:type="dxa"/>
            <w:vAlign w:val="center"/>
          </w:tcPr>
          <w:p w:rsidR="00C67255" w:rsidRPr="008E6ABD" w:rsidRDefault="00C67255" w:rsidP="00C67255">
            <w:pPr>
              <w:pStyle w:val="VIETA1"/>
              <w:numPr>
                <w:ilvl w:val="0"/>
                <w:numId w:val="0"/>
              </w:numPr>
              <w:spacing w:after="120"/>
              <w:ind w:right="0"/>
              <w:jc w:val="left"/>
              <w:rPr>
                <w:rFonts w:ascii="Tahoma" w:hAnsi="Tahoma" w:cs="Tahoma"/>
                <w:color w:val="000000" w:themeColor="text1"/>
                <w:sz w:val="22"/>
                <w:szCs w:val="22"/>
              </w:rPr>
            </w:pPr>
            <w:r w:rsidRPr="008E6ABD">
              <w:rPr>
                <w:rFonts w:ascii="Tahoma" w:hAnsi="Tahoma" w:cs="Tahoma"/>
                <w:color w:val="000000" w:themeColor="text1"/>
                <w:sz w:val="22"/>
                <w:szCs w:val="22"/>
              </w:rPr>
              <w:t>Suspensión Indefinida</w:t>
            </w:r>
          </w:p>
        </w:tc>
      </w:tr>
    </w:tbl>
    <w:p w:rsidR="00D40B98" w:rsidRPr="008E6ABD" w:rsidRDefault="00D40B98" w:rsidP="00262502">
      <w:pPr>
        <w:pStyle w:val="VIETA1"/>
        <w:numPr>
          <w:ilvl w:val="1"/>
          <w:numId w:val="8"/>
        </w:numPr>
        <w:spacing w:after="160"/>
        <w:ind w:left="794" w:right="0"/>
        <w:rPr>
          <w:rFonts w:ascii="Tahoma" w:hAnsi="Tahoma" w:cs="Tahoma"/>
          <w:b/>
          <w:color w:val="000000" w:themeColor="text1"/>
          <w:sz w:val="22"/>
          <w:szCs w:val="22"/>
        </w:rPr>
      </w:pPr>
      <w:r w:rsidRPr="008E6ABD">
        <w:rPr>
          <w:rFonts w:ascii="Tahoma" w:hAnsi="Tahoma" w:cs="Tahoma"/>
          <w:b/>
          <w:color w:val="000000" w:themeColor="text1"/>
          <w:sz w:val="22"/>
          <w:szCs w:val="22"/>
        </w:rPr>
        <w:t xml:space="preserve">Ejecución de las </w:t>
      </w:r>
      <w:r w:rsidR="00921AB7" w:rsidRPr="008E6ABD">
        <w:rPr>
          <w:rFonts w:ascii="Tahoma" w:hAnsi="Tahoma" w:cs="Tahoma"/>
          <w:b/>
          <w:color w:val="000000" w:themeColor="text1"/>
          <w:sz w:val="22"/>
          <w:szCs w:val="22"/>
        </w:rPr>
        <w:t>Órdenes</w:t>
      </w:r>
      <w:r w:rsidR="00921AB7" w:rsidRPr="008E6ABD">
        <w:rPr>
          <w:rFonts w:ascii="Tahoma" w:hAnsi="Tahoma" w:cs="Tahoma"/>
          <w:color w:val="000000" w:themeColor="text1"/>
          <w:sz w:val="22"/>
          <w:szCs w:val="22"/>
          <w:lang w:val="es-MX"/>
        </w:rPr>
        <w:t xml:space="preserve"> </w:t>
      </w:r>
    </w:p>
    <w:p w:rsidR="005E481A" w:rsidRPr="008E6ABD" w:rsidRDefault="005E481A" w:rsidP="00262502">
      <w:pPr>
        <w:pStyle w:val="VIETA1"/>
        <w:numPr>
          <w:ilvl w:val="0"/>
          <w:numId w:val="0"/>
        </w:numPr>
        <w:spacing w:after="160"/>
        <w:ind w:left="794" w:right="0"/>
        <w:rPr>
          <w:rFonts w:ascii="Tahoma" w:hAnsi="Tahoma" w:cs="Tahoma"/>
          <w:color w:val="000000" w:themeColor="text1"/>
          <w:sz w:val="22"/>
          <w:szCs w:val="22"/>
        </w:rPr>
      </w:pPr>
      <w:r w:rsidRPr="008E6ABD">
        <w:rPr>
          <w:rFonts w:ascii="Tahoma" w:hAnsi="Tahoma" w:cs="Tahoma"/>
          <w:color w:val="000000" w:themeColor="text1"/>
          <w:sz w:val="22"/>
          <w:szCs w:val="22"/>
        </w:rPr>
        <w:t>Las órdenes serán puestas dependiendo de la contraparte y los montos a operar. En el punto anterior se determinó que se buscar</w:t>
      </w:r>
      <w:r w:rsidR="009217EB" w:rsidRPr="008E6ABD">
        <w:rPr>
          <w:rFonts w:ascii="Tahoma" w:hAnsi="Tahoma" w:cs="Tahoma"/>
          <w:color w:val="000000" w:themeColor="text1"/>
          <w:sz w:val="22"/>
          <w:szCs w:val="22"/>
        </w:rPr>
        <w:t>á</w:t>
      </w:r>
      <w:r w:rsidRPr="008E6ABD">
        <w:rPr>
          <w:rFonts w:ascii="Tahoma" w:hAnsi="Tahoma" w:cs="Tahoma"/>
          <w:color w:val="000000" w:themeColor="text1"/>
          <w:sz w:val="22"/>
          <w:szCs w:val="22"/>
        </w:rPr>
        <w:t xml:space="preserve"> operar en un inicio con la contraparte que tenga el mejor precio tomando en cuenta que no se vaya a exceder en algún </w:t>
      </w:r>
      <w:r w:rsidR="00474F6E" w:rsidRPr="008E6ABD">
        <w:rPr>
          <w:rFonts w:ascii="Tahoma" w:hAnsi="Tahoma" w:cs="Tahoma"/>
          <w:color w:val="000000" w:themeColor="text1"/>
          <w:sz w:val="22"/>
          <w:szCs w:val="22"/>
        </w:rPr>
        <w:t>límite</w:t>
      </w:r>
      <w:r w:rsidRPr="008E6ABD">
        <w:rPr>
          <w:rFonts w:ascii="Tahoma" w:hAnsi="Tahoma" w:cs="Tahoma"/>
          <w:color w:val="000000" w:themeColor="text1"/>
          <w:sz w:val="22"/>
          <w:szCs w:val="22"/>
        </w:rPr>
        <w:t xml:space="preserve"> interno o bien no haya tenido algún evento de liquidez. Los límites internos por calificación y contraparte se estipulan en la sección </w:t>
      </w:r>
      <w:r w:rsidR="00085B39" w:rsidRPr="008E6ABD">
        <w:rPr>
          <w:rFonts w:ascii="Tahoma" w:hAnsi="Tahoma" w:cs="Tahoma"/>
          <w:color w:val="000000" w:themeColor="text1"/>
          <w:sz w:val="22"/>
          <w:szCs w:val="22"/>
        </w:rPr>
        <w:t>5</w:t>
      </w:r>
      <w:r w:rsidRPr="008E6ABD">
        <w:rPr>
          <w:rFonts w:ascii="Tahoma" w:hAnsi="Tahoma" w:cs="Tahoma"/>
          <w:color w:val="000000" w:themeColor="text1"/>
          <w:sz w:val="22"/>
          <w:szCs w:val="22"/>
        </w:rPr>
        <w:t xml:space="preserve"> de la presente política.</w:t>
      </w:r>
    </w:p>
    <w:p w:rsidR="00AE552D" w:rsidRPr="008E6ABD" w:rsidRDefault="009217EB" w:rsidP="00262502">
      <w:pPr>
        <w:pStyle w:val="VIETA1"/>
        <w:numPr>
          <w:ilvl w:val="0"/>
          <w:numId w:val="0"/>
        </w:numPr>
        <w:spacing w:after="160"/>
        <w:ind w:left="794" w:right="0"/>
        <w:rPr>
          <w:rFonts w:ascii="Tahoma" w:hAnsi="Tahoma" w:cs="Tahoma"/>
          <w:color w:val="000000" w:themeColor="text1"/>
          <w:sz w:val="22"/>
          <w:szCs w:val="22"/>
        </w:rPr>
      </w:pPr>
      <w:r w:rsidRPr="008E6ABD">
        <w:rPr>
          <w:rFonts w:ascii="Tahoma" w:hAnsi="Tahoma" w:cs="Tahoma"/>
          <w:color w:val="000000" w:themeColor="text1"/>
          <w:sz w:val="22"/>
          <w:szCs w:val="22"/>
        </w:rPr>
        <w:t>En el caso de las operaciones con Derivados,</w:t>
      </w:r>
      <w:r w:rsidR="00363050" w:rsidRPr="008E6ABD">
        <w:rPr>
          <w:rFonts w:ascii="Tahoma" w:hAnsi="Tahoma" w:cs="Tahoma"/>
          <w:color w:val="000000" w:themeColor="text1"/>
          <w:sz w:val="22"/>
          <w:szCs w:val="22"/>
        </w:rPr>
        <w:t xml:space="preserve"> estas pueden ser en Mercados Listados o </w:t>
      </w:r>
      <w:r w:rsidR="00363050" w:rsidRPr="008E6ABD">
        <w:rPr>
          <w:rFonts w:ascii="Tahoma" w:hAnsi="Tahoma" w:cs="Tahoma"/>
          <w:i/>
          <w:color w:val="000000" w:themeColor="text1"/>
          <w:sz w:val="22"/>
          <w:szCs w:val="22"/>
        </w:rPr>
        <w:t>Over the Counter</w:t>
      </w:r>
      <w:r w:rsidR="00363050" w:rsidRPr="008E6ABD">
        <w:rPr>
          <w:rFonts w:ascii="Tahoma" w:hAnsi="Tahoma" w:cs="Tahoma"/>
          <w:color w:val="000000" w:themeColor="text1"/>
          <w:sz w:val="22"/>
          <w:szCs w:val="22"/>
        </w:rPr>
        <w:t xml:space="preserve"> (OTCs).</w:t>
      </w:r>
      <w:r w:rsidRPr="008E6ABD">
        <w:rPr>
          <w:rFonts w:ascii="Tahoma" w:hAnsi="Tahoma" w:cs="Tahoma"/>
          <w:color w:val="000000" w:themeColor="text1"/>
          <w:sz w:val="22"/>
          <w:szCs w:val="22"/>
        </w:rPr>
        <w:t xml:space="preserve"> </w:t>
      </w:r>
    </w:p>
    <w:p w:rsidR="009217EB" w:rsidRPr="008E6ABD" w:rsidRDefault="00363050" w:rsidP="00C969A6">
      <w:pPr>
        <w:pStyle w:val="VIETA1"/>
        <w:numPr>
          <w:ilvl w:val="0"/>
          <w:numId w:val="15"/>
        </w:numPr>
        <w:ind w:right="0"/>
        <w:rPr>
          <w:rFonts w:ascii="Tahoma" w:hAnsi="Tahoma" w:cs="Tahoma"/>
          <w:color w:val="000000" w:themeColor="text1"/>
          <w:sz w:val="22"/>
          <w:szCs w:val="22"/>
        </w:rPr>
      </w:pPr>
      <w:r w:rsidRPr="008E6ABD">
        <w:rPr>
          <w:rFonts w:ascii="Tahoma" w:hAnsi="Tahoma" w:cs="Tahoma"/>
          <w:color w:val="000000" w:themeColor="text1"/>
          <w:sz w:val="22"/>
          <w:szCs w:val="22"/>
        </w:rPr>
        <w:t>Mercados Listados</w:t>
      </w:r>
      <w:r w:rsidR="00AE552D" w:rsidRPr="008E6ABD">
        <w:rPr>
          <w:rFonts w:ascii="Tahoma" w:hAnsi="Tahoma" w:cs="Tahoma"/>
          <w:color w:val="000000" w:themeColor="text1"/>
          <w:sz w:val="22"/>
          <w:szCs w:val="22"/>
        </w:rPr>
        <w:t xml:space="preserve"> =&gt;</w:t>
      </w:r>
      <w:r w:rsidRPr="008E6ABD">
        <w:rPr>
          <w:rFonts w:ascii="Tahoma" w:hAnsi="Tahoma" w:cs="Tahoma"/>
          <w:color w:val="000000" w:themeColor="text1"/>
          <w:sz w:val="22"/>
          <w:szCs w:val="22"/>
        </w:rPr>
        <w:t xml:space="preserve"> </w:t>
      </w:r>
      <w:r w:rsidR="009217EB" w:rsidRPr="008E6ABD">
        <w:rPr>
          <w:rFonts w:ascii="Tahoma" w:hAnsi="Tahoma" w:cs="Tahoma"/>
          <w:color w:val="000000" w:themeColor="text1"/>
          <w:sz w:val="22"/>
          <w:szCs w:val="22"/>
        </w:rPr>
        <w:t>las órdenes se realizarán por medio del o los Socios Liquidadores con los que se tengan contrato</w:t>
      </w:r>
      <w:r w:rsidR="00AE552D" w:rsidRPr="008E6ABD">
        <w:rPr>
          <w:rFonts w:ascii="Tahoma" w:hAnsi="Tahoma" w:cs="Tahoma"/>
          <w:color w:val="000000" w:themeColor="text1"/>
          <w:sz w:val="22"/>
          <w:szCs w:val="22"/>
        </w:rPr>
        <w:t xml:space="preserve"> y el</w:t>
      </w:r>
      <w:r w:rsidRPr="008E6ABD">
        <w:rPr>
          <w:rFonts w:ascii="Tahoma" w:hAnsi="Tahoma" w:cs="Tahoma"/>
          <w:color w:val="000000" w:themeColor="text1"/>
          <w:sz w:val="22"/>
          <w:szCs w:val="22"/>
        </w:rPr>
        <w:t xml:space="preserve"> precio </w:t>
      </w:r>
      <w:r w:rsidR="00AE552D" w:rsidRPr="008E6ABD">
        <w:rPr>
          <w:rFonts w:ascii="Tahoma" w:hAnsi="Tahoma" w:cs="Tahoma"/>
          <w:color w:val="000000" w:themeColor="text1"/>
          <w:sz w:val="22"/>
          <w:szCs w:val="22"/>
        </w:rPr>
        <w:t xml:space="preserve">se </w:t>
      </w:r>
      <w:r w:rsidRPr="008E6ABD">
        <w:rPr>
          <w:rFonts w:ascii="Tahoma" w:hAnsi="Tahoma" w:cs="Tahoma"/>
          <w:color w:val="000000" w:themeColor="text1"/>
          <w:sz w:val="22"/>
          <w:szCs w:val="22"/>
        </w:rPr>
        <w:t>deberá de apegarse al de mercado</w:t>
      </w:r>
    </w:p>
    <w:p w:rsidR="00AE552D" w:rsidRPr="008E6ABD" w:rsidRDefault="00AE552D" w:rsidP="00262502">
      <w:pPr>
        <w:pStyle w:val="VIETA1"/>
        <w:numPr>
          <w:ilvl w:val="0"/>
          <w:numId w:val="15"/>
        </w:numPr>
        <w:spacing w:after="160"/>
        <w:ind w:right="0"/>
        <w:rPr>
          <w:rFonts w:ascii="Tahoma" w:hAnsi="Tahoma" w:cs="Tahoma"/>
          <w:color w:val="000000" w:themeColor="text1"/>
          <w:sz w:val="22"/>
          <w:szCs w:val="22"/>
        </w:rPr>
      </w:pPr>
      <w:r w:rsidRPr="008E6ABD">
        <w:rPr>
          <w:rFonts w:ascii="Tahoma" w:hAnsi="Tahoma" w:cs="Tahoma"/>
          <w:color w:val="000000" w:themeColor="text1"/>
          <w:sz w:val="22"/>
          <w:szCs w:val="22"/>
        </w:rPr>
        <w:t>Mercados OTCs =&gt; las ordenes se realizar</w:t>
      </w:r>
      <w:r w:rsidR="004141B5" w:rsidRPr="008E6ABD">
        <w:rPr>
          <w:rFonts w:ascii="Tahoma" w:hAnsi="Tahoma" w:cs="Tahoma"/>
          <w:color w:val="000000" w:themeColor="text1"/>
          <w:sz w:val="22"/>
          <w:szCs w:val="22"/>
        </w:rPr>
        <w:t>á</w:t>
      </w:r>
      <w:r w:rsidRPr="008E6ABD">
        <w:rPr>
          <w:rFonts w:ascii="Tahoma" w:hAnsi="Tahoma" w:cs="Tahoma"/>
          <w:color w:val="000000" w:themeColor="text1"/>
          <w:sz w:val="22"/>
          <w:szCs w:val="22"/>
        </w:rPr>
        <w:t>n con las contrapartes y el precio se deberá de apegarse al de mercado</w:t>
      </w:r>
    </w:p>
    <w:p w:rsidR="0021673F" w:rsidRPr="008E6ABD" w:rsidRDefault="00AE552D"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En el caso del monto del contrato </w:t>
      </w:r>
      <w:r w:rsidR="0087129F" w:rsidRPr="008E6ABD">
        <w:rPr>
          <w:rFonts w:ascii="Tahoma" w:hAnsi="Tahoma" w:cs="Tahoma"/>
          <w:color w:val="000000" w:themeColor="text1"/>
          <w:sz w:val="22"/>
          <w:szCs w:val="22"/>
        </w:rPr>
        <w:t>y las líneas de crédito para las llamadas de capital se tendrán que sumar a los límites de riesgo crédito por exposición a instrumentos de deuda de dicha contraparte.</w:t>
      </w:r>
      <w:r w:rsidR="00010491" w:rsidRPr="008E6ABD">
        <w:rPr>
          <w:rFonts w:ascii="Tahoma" w:hAnsi="Tahoma" w:cs="Tahoma"/>
          <w:color w:val="000000" w:themeColor="text1"/>
          <w:sz w:val="22"/>
          <w:szCs w:val="22"/>
        </w:rPr>
        <w:t xml:space="preserve"> </w:t>
      </w:r>
    </w:p>
    <w:p w:rsidR="0021673F" w:rsidRPr="008E6ABD" w:rsidRDefault="0021673F"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Tipos de Ordenes</w:t>
      </w:r>
    </w:p>
    <w:p w:rsidR="0021673F" w:rsidRPr="008E6ABD" w:rsidRDefault="0021673F"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Hay diferentes tipos de órdenes y entre las más usuales son a mercado o </w:t>
      </w:r>
      <w:r w:rsidR="00260CE0" w:rsidRPr="008E6ABD">
        <w:rPr>
          <w:rFonts w:ascii="Tahoma" w:hAnsi="Tahoma" w:cs="Tahoma"/>
          <w:color w:val="000000" w:themeColor="text1"/>
          <w:sz w:val="22"/>
          <w:szCs w:val="22"/>
        </w:rPr>
        <w:t>límite</w:t>
      </w:r>
      <w:r w:rsidRPr="008E6ABD">
        <w:rPr>
          <w:rFonts w:ascii="Tahoma" w:hAnsi="Tahoma" w:cs="Tahoma"/>
          <w:color w:val="000000" w:themeColor="text1"/>
          <w:sz w:val="22"/>
          <w:szCs w:val="22"/>
        </w:rPr>
        <w:t xml:space="preserve">. Debido a los montos que se operan los jugadores institucionales, las órdenes a precios o tasas a </w:t>
      </w:r>
      <w:r w:rsidR="00260CE0" w:rsidRPr="008E6ABD">
        <w:rPr>
          <w:rFonts w:ascii="Tahoma" w:hAnsi="Tahoma" w:cs="Tahoma"/>
          <w:color w:val="000000" w:themeColor="text1"/>
          <w:sz w:val="22"/>
          <w:szCs w:val="22"/>
        </w:rPr>
        <w:t>límite</w:t>
      </w:r>
      <w:r w:rsidRPr="008E6ABD">
        <w:rPr>
          <w:rFonts w:ascii="Tahoma" w:hAnsi="Tahoma" w:cs="Tahoma"/>
          <w:color w:val="000000" w:themeColor="text1"/>
          <w:sz w:val="22"/>
          <w:szCs w:val="22"/>
        </w:rPr>
        <w:t xml:space="preserve"> o bien en paquete son las más usuales.</w:t>
      </w:r>
    </w:p>
    <w:p w:rsidR="0021673F" w:rsidRPr="008E6ABD" w:rsidRDefault="00260CE0" w:rsidP="00262502">
      <w:pPr>
        <w:pStyle w:val="VIETA1"/>
        <w:numPr>
          <w:ilvl w:val="0"/>
          <w:numId w:val="0"/>
        </w:numPr>
        <w:spacing w:after="160"/>
        <w:ind w:left="792" w:right="0"/>
        <w:rPr>
          <w:rFonts w:ascii="Tahoma" w:hAnsi="Tahoma" w:cs="Tahoma"/>
          <w:color w:val="000000" w:themeColor="text1"/>
          <w:sz w:val="22"/>
          <w:szCs w:val="22"/>
        </w:rPr>
      </w:pPr>
      <w:r w:rsidRPr="008E6ABD">
        <w:rPr>
          <w:rFonts w:ascii="Tahoma" w:hAnsi="Tahoma" w:cs="Tahoma"/>
          <w:color w:val="000000" w:themeColor="text1"/>
          <w:sz w:val="22"/>
          <w:szCs w:val="22"/>
        </w:rPr>
        <w:t xml:space="preserve">Queda a discreción de los operadores realizar las órdenes para que se puedan dar los precios que se cotizaron. </w:t>
      </w:r>
      <w:r w:rsidR="00062CAD" w:rsidRPr="008E6ABD">
        <w:rPr>
          <w:rFonts w:ascii="Tahoma" w:hAnsi="Tahoma" w:cs="Tahoma"/>
          <w:color w:val="000000" w:themeColor="text1"/>
          <w:sz w:val="22"/>
          <w:szCs w:val="22"/>
        </w:rPr>
        <w:t>Entre las órdenes que se pueden operar y no son restrictivas a nuevos tipos de órdenes, son las siguientes:</w:t>
      </w:r>
    </w:p>
    <w:p w:rsidR="00062CAD" w:rsidRPr="008E6ABD" w:rsidRDefault="00062CAD" w:rsidP="00C969A6">
      <w:pPr>
        <w:pStyle w:val="VIETA1"/>
        <w:numPr>
          <w:ilvl w:val="0"/>
          <w:numId w:val="16"/>
        </w:numPr>
        <w:ind w:right="0"/>
        <w:rPr>
          <w:rFonts w:ascii="Tahoma" w:hAnsi="Tahoma" w:cs="Tahoma"/>
          <w:color w:val="000000" w:themeColor="text1"/>
          <w:sz w:val="22"/>
          <w:szCs w:val="22"/>
        </w:rPr>
      </w:pPr>
      <w:r w:rsidRPr="008E6ABD">
        <w:rPr>
          <w:rFonts w:ascii="Tahoma" w:hAnsi="Tahoma" w:cs="Tahoma"/>
          <w:color w:val="000000" w:themeColor="text1"/>
          <w:sz w:val="22"/>
          <w:szCs w:val="22"/>
        </w:rPr>
        <w:t>A Mercado</w:t>
      </w:r>
      <w:r w:rsidR="00262502">
        <w:rPr>
          <w:rFonts w:ascii="Tahoma" w:hAnsi="Tahoma" w:cs="Tahoma"/>
          <w:color w:val="000000" w:themeColor="text1"/>
          <w:sz w:val="22"/>
          <w:szCs w:val="22"/>
        </w:rPr>
        <w:t>.</w:t>
      </w:r>
    </w:p>
    <w:p w:rsidR="00062CAD" w:rsidRPr="008E6ABD" w:rsidRDefault="00062CAD" w:rsidP="00C969A6">
      <w:pPr>
        <w:pStyle w:val="VIETA1"/>
        <w:numPr>
          <w:ilvl w:val="0"/>
          <w:numId w:val="16"/>
        </w:numPr>
        <w:ind w:right="0"/>
        <w:rPr>
          <w:rFonts w:ascii="Tahoma" w:hAnsi="Tahoma" w:cs="Tahoma"/>
          <w:color w:val="000000" w:themeColor="text1"/>
          <w:sz w:val="22"/>
          <w:szCs w:val="22"/>
        </w:rPr>
      </w:pPr>
      <w:r w:rsidRPr="008E6ABD">
        <w:rPr>
          <w:rFonts w:ascii="Tahoma" w:hAnsi="Tahoma" w:cs="Tahoma"/>
          <w:color w:val="000000" w:themeColor="text1"/>
          <w:sz w:val="22"/>
          <w:szCs w:val="22"/>
        </w:rPr>
        <w:t>A Precio Límite</w:t>
      </w:r>
      <w:r w:rsidR="00262502">
        <w:rPr>
          <w:rFonts w:ascii="Tahoma" w:hAnsi="Tahoma" w:cs="Tahoma"/>
          <w:color w:val="000000" w:themeColor="text1"/>
          <w:sz w:val="22"/>
          <w:szCs w:val="22"/>
        </w:rPr>
        <w:t>.</w:t>
      </w:r>
    </w:p>
    <w:p w:rsidR="00062CAD" w:rsidRPr="008E6ABD" w:rsidRDefault="00062CAD" w:rsidP="00C969A6">
      <w:pPr>
        <w:pStyle w:val="VIETA1"/>
        <w:numPr>
          <w:ilvl w:val="0"/>
          <w:numId w:val="16"/>
        </w:numPr>
        <w:ind w:right="0"/>
        <w:rPr>
          <w:rFonts w:ascii="Tahoma" w:hAnsi="Tahoma" w:cs="Tahoma"/>
          <w:color w:val="000000" w:themeColor="text1"/>
          <w:sz w:val="22"/>
          <w:szCs w:val="22"/>
        </w:rPr>
      </w:pPr>
      <w:r w:rsidRPr="008E6ABD">
        <w:rPr>
          <w:rFonts w:ascii="Tahoma" w:hAnsi="Tahoma" w:cs="Tahoma"/>
          <w:color w:val="000000" w:themeColor="text1"/>
          <w:sz w:val="22"/>
          <w:szCs w:val="22"/>
        </w:rPr>
        <w:t>Paquete a Precio Límite (cuando hay poca liquidez o se encuentran paquetes a precios favorables)</w:t>
      </w:r>
      <w:r w:rsidR="00262502">
        <w:rPr>
          <w:rFonts w:ascii="Tahoma" w:hAnsi="Tahoma" w:cs="Tahoma"/>
          <w:color w:val="000000" w:themeColor="text1"/>
          <w:sz w:val="22"/>
          <w:szCs w:val="22"/>
        </w:rPr>
        <w:t>.</w:t>
      </w:r>
    </w:p>
    <w:p w:rsidR="00062CAD" w:rsidRPr="008E6ABD" w:rsidRDefault="00062CAD" w:rsidP="00262502">
      <w:pPr>
        <w:pStyle w:val="VIETA1"/>
        <w:numPr>
          <w:ilvl w:val="0"/>
          <w:numId w:val="16"/>
        </w:numPr>
        <w:spacing w:after="160"/>
        <w:ind w:left="1508" w:right="0" w:hanging="357"/>
        <w:rPr>
          <w:rFonts w:ascii="Tahoma" w:hAnsi="Tahoma" w:cs="Tahoma"/>
          <w:color w:val="000000" w:themeColor="text1"/>
          <w:sz w:val="22"/>
          <w:szCs w:val="22"/>
        </w:rPr>
      </w:pPr>
      <w:r w:rsidRPr="008E6ABD">
        <w:rPr>
          <w:rFonts w:ascii="Tahoma" w:hAnsi="Tahoma" w:cs="Tahoma"/>
          <w:color w:val="000000" w:themeColor="text1"/>
          <w:sz w:val="22"/>
          <w:szCs w:val="22"/>
        </w:rPr>
        <w:t>Todo o Nada</w:t>
      </w:r>
      <w:r w:rsidR="00262502">
        <w:rPr>
          <w:rFonts w:ascii="Tahoma" w:hAnsi="Tahoma" w:cs="Tahoma"/>
          <w:color w:val="000000" w:themeColor="text1"/>
          <w:sz w:val="22"/>
          <w:szCs w:val="22"/>
        </w:rPr>
        <w:t>.</w:t>
      </w:r>
    </w:p>
    <w:p w:rsidR="0021673F" w:rsidRPr="008E6ABD" w:rsidRDefault="0021673F" w:rsidP="00C969A6">
      <w:pPr>
        <w:pStyle w:val="VIETA1"/>
        <w:numPr>
          <w:ilvl w:val="1"/>
          <w:numId w:val="8"/>
        </w:numPr>
        <w:spacing w:before="120" w:after="120"/>
        <w:ind w:right="0"/>
        <w:rPr>
          <w:rFonts w:ascii="Tahoma" w:hAnsi="Tahoma" w:cs="Tahoma"/>
          <w:b/>
          <w:color w:val="000000" w:themeColor="text1"/>
          <w:sz w:val="22"/>
          <w:szCs w:val="22"/>
        </w:rPr>
      </w:pPr>
      <w:r w:rsidRPr="008E6ABD">
        <w:rPr>
          <w:rFonts w:ascii="Tahoma" w:hAnsi="Tahoma" w:cs="Tahoma"/>
          <w:b/>
          <w:color w:val="000000" w:themeColor="text1"/>
          <w:sz w:val="22"/>
          <w:szCs w:val="22"/>
        </w:rPr>
        <w:lastRenderedPageBreak/>
        <w:t>Lapsos de Tiempo Permitidos para Cotizar</w:t>
      </w:r>
    </w:p>
    <w:p w:rsidR="0021673F" w:rsidRPr="008E6ABD" w:rsidRDefault="0021673F"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Instrumentos de Deuda</w:t>
      </w:r>
    </w:p>
    <w:p w:rsidR="00B53B37" w:rsidRPr="008E6ABD" w:rsidRDefault="0021673F" w:rsidP="00262502">
      <w:pPr>
        <w:pStyle w:val="VIETA1"/>
        <w:numPr>
          <w:ilvl w:val="0"/>
          <w:numId w:val="0"/>
        </w:numPr>
        <w:spacing w:after="160"/>
        <w:ind w:left="1225" w:right="0"/>
        <w:rPr>
          <w:rFonts w:ascii="Tahoma" w:hAnsi="Tahoma" w:cs="Tahoma"/>
          <w:color w:val="000000" w:themeColor="text1"/>
          <w:sz w:val="22"/>
          <w:szCs w:val="22"/>
        </w:rPr>
      </w:pPr>
      <w:r w:rsidRPr="008E6ABD">
        <w:rPr>
          <w:rFonts w:ascii="Tahoma" w:hAnsi="Tahoma" w:cs="Tahoma"/>
          <w:color w:val="000000" w:themeColor="text1"/>
          <w:sz w:val="22"/>
          <w:szCs w:val="22"/>
        </w:rPr>
        <w:t xml:space="preserve">A partir de que se </w:t>
      </w:r>
      <w:r w:rsidR="00D23508" w:rsidRPr="008E6ABD">
        <w:rPr>
          <w:rFonts w:ascii="Tahoma" w:hAnsi="Tahoma" w:cs="Tahoma"/>
          <w:color w:val="000000" w:themeColor="text1"/>
          <w:sz w:val="22"/>
          <w:szCs w:val="22"/>
        </w:rPr>
        <w:t>revisó</w:t>
      </w:r>
      <w:r w:rsidRPr="008E6ABD">
        <w:rPr>
          <w:rFonts w:ascii="Tahoma" w:hAnsi="Tahoma" w:cs="Tahoma"/>
          <w:color w:val="000000" w:themeColor="text1"/>
          <w:sz w:val="22"/>
          <w:szCs w:val="22"/>
        </w:rPr>
        <w:t xml:space="preserve"> la operación </w:t>
      </w:r>
      <w:r w:rsidR="00D23508" w:rsidRPr="008E6ABD">
        <w:rPr>
          <w:rFonts w:ascii="Tahoma" w:hAnsi="Tahoma" w:cs="Tahoma"/>
          <w:color w:val="000000" w:themeColor="text1"/>
          <w:sz w:val="22"/>
          <w:szCs w:val="22"/>
        </w:rPr>
        <w:t>por control interno</w:t>
      </w:r>
      <w:r w:rsidRPr="008E6ABD">
        <w:rPr>
          <w:rFonts w:ascii="Tahoma" w:hAnsi="Tahoma" w:cs="Tahoma"/>
          <w:color w:val="000000" w:themeColor="text1"/>
          <w:sz w:val="22"/>
          <w:szCs w:val="22"/>
        </w:rPr>
        <w:t>, la diferencia en tiempo entre las cotizaciones y la concertación (cierre) de una operación no deberá ser mayor a los 10 minutos.</w:t>
      </w:r>
      <w:r w:rsidR="00D52E5E" w:rsidRPr="008E6ABD">
        <w:rPr>
          <w:rFonts w:ascii="Tahoma" w:hAnsi="Tahoma" w:cs="Tahoma"/>
          <w:color w:val="000000" w:themeColor="text1"/>
          <w:sz w:val="22"/>
          <w:szCs w:val="22"/>
        </w:rPr>
        <w:t xml:space="preserve"> </w:t>
      </w:r>
    </w:p>
    <w:p w:rsidR="0021673F" w:rsidRPr="008E6ABD" w:rsidRDefault="0021673F"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Acciones y ETFs</w:t>
      </w:r>
    </w:p>
    <w:p w:rsidR="0021673F" w:rsidRPr="008E6ABD" w:rsidRDefault="0021673F"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 xml:space="preserve">A partir de que se </w:t>
      </w:r>
      <w:r w:rsidR="00D23508" w:rsidRPr="008E6ABD">
        <w:rPr>
          <w:rFonts w:ascii="Tahoma" w:hAnsi="Tahoma" w:cs="Tahoma"/>
          <w:color w:val="000000" w:themeColor="text1"/>
          <w:sz w:val="22"/>
          <w:szCs w:val="22"/>
        </w:rPr>
        <w:t xml:space="preserve">revisó </w:t>
      </w:r>
      <w:r w:rsidRPr="008E6ABD">
        <w:rPr>
          <w:rFonts w:ascii="Tahoma" w:hAnsi="Tahoma" w:cs="Tahoma"/>
          <w:color w:val="000000" w:themeColor="text1"/>
          <w:sz w:val="22"/>
          <w:szCs w:val="22"/>
        </w:rPr>
        <w:t xml:space="preserve">la operación por </w:t>
      </w:r>
      <w:r w:rsidR="00D23508" w:rsidRPr="008E6ABD">
        <w:rPr>
          <w:rFonts w:ascii="Tahoma" w:hAnsi="Tahoma" w:cs="Tahoma"/>
          <w:color w:val="000000" w:themeColor="text1"/>
          <w:sz w:val="22"/>
          <w:szCs w:val="22"/>
        </w:rPr>
        <w:t>control interno</w:t>
      </w:r>
      <w:r w:rsidRPr="008E6ABD">
        <w:rPr>
          <w:rFonts w:ascii="Tahoma" w:hAnsi="Tahoma" w:cs="Tahoma"/>
          <w:color w:val="000000" w:themeColor="text1"/>
          <w:sz w:val="22"/>
          <w:szCs w:val="22"/>
        </w:rPr>
        <w:t>, la diferencia en tiempo entre las cotizaciones y la concertación (cierre) de una operación no deberá ser mayor a los 10 minutos.</w:t>
      </w:r>
      <w:r w:rsidR="00D52E5E" w:rsidRPr="008E6ABD">
        <w:rPr>
          <w:rFonts w:ascii="Tahoma" w:hAnsi="Tahoma" w:cs="Tahoma"/>
          <w:color w:val="000000" w:themeColor="text1"/>
          <w:sz w:val="22"/>
          <w:szCs w:val="22"/>
        </w:rPr>
        <w:t xml:space="preserve"> </w:t>
      </w:r>
    </w:p>
    <w:p w:rsidR="0021673F" w:rsidRPr="008E6ABD" w:rsidRDefault="0021673F"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Derivados</w:t>
      </w:r>
    </w:p>
    <w:p w:rsidR="00062CAD" w:rsidRPr="008E6ABD" w:rsidRDefault="00062CAD"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 xml:space="preserve">No habrá un lapso máximo permitido para cotizar y operar. Esto es debido a que en los mercados organizados no hay límite establecido, dado que una orden (instrucción de compra o venta) puede ser satisfecha total o parcialmente o no ser satisfecha, según haya o no haya interesados en tomar la posición contraria a la que </w:t>
      </w:r>
      <w:r w:rsidR="00785F68">
        <w:rPr>
          <w:rFonts w:ascii="Tahoma" w:hAnsi="Tahoma" w:cs="Tahoma"/>
          <w:color w:val="000000" w:themeColor="text1"/>
          <w:sz w:val="22"/>
          <w:szCs w:val="22"/>
        </w:rPr>
        <w:t>INFONAVIT</w:t>
      </w:r>
      <w:r w:rsidRPr="008E6ABD">
        <w:rPr>
          <w:rFonts w:ascii="Tahoma" w:hAnsi="Tahoma" w:cs="Tahoma"/>
          <w:color w:val="000000" w:themeColor="text1"/>
          <w:sz w:val="22"/>
          <w:szCs w:val="22"/>
        </w:rPr>
        <w:t xml:space="preserve"> la solicite. La orden girada al Socio Operador o al </w:t>
      </w:r>
      <w:r w:rsidRPr="008E6ABD">
        <w:rPr>
          <w:rFonts w:ascii="Tahoma" w:hAnsi="Tahoma" w:cs="Tahoma"/>
          <w:i/>
          <w:color w:val="000000" w:themeColor="text1"/>
          <w:sz w:val="22"/>
          <w:szCs w:val="22"/>
        </w:rPr>
        <w:t>Execution Firm</w:t>
      </w:r>
      <w:r w:rsidRPr="008E6ABD">
        <w:rPr>
          <w:rFonts w:ascii="Tahoma" w:hAnsi="Tahoma" w:cs="Tahoma"/>
          <w:color w:val="000000" w:themeColor="text1"/>
          <w:sz w:val="22"/>
          <w:szCs w:val="22"/>
        </w:rPr>
        <w:t>, tratándose de CME, puede incluso tener la vigencia de varios días o puede ser girada para operarse al día siguiente.</w:t>
      </w:r>
    </w:p>
    <w:p w:rsidR="000B1331" w:rsidRPr="008E6ABD" w:rsidRDefault="000B1331"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Procedimiento para Guardar las Llamadas o Correos de Cotizaciones u Ordenes</w:t>
      </w:r>
    </w:p>
    <w:p w:rsidR="000B1331" w:rsidRPr="008E6ABD" w:rsidRDefault="000B1331"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Procedimiento para Guardar las Llamadas</w:t>
      </w:r>
    </w:p>
    <w:p w:rsidR="00222E60" w:rsidRPr="008E6ABD" w:rsidRDefault="00222E60" w:rsidP="00262502">
      <w:pPr>
        <w:pStyle w:val="VIETA1"/>
        <w:numPr>
          <w:ilvl w:val="0"/>
          <w:numId w:val="0"/>
        </w:numPr>
        <w:spacing w:after="160"/>
        <w:ind w:left="1260"/>
        <w:rPr>
          <w:rFonts w:ascii="Tahoma" w:hAnsi="Tahoma" w:cs="Tahoma"/>
          <w:color w:val="000000" w:themeColor="text1"/>
          <w:sz w:val="22"/>
          <w:szCs w:val="22"/>
        </w:rPr>
      </w:pPr>
      <w:r w:rsidRPr="008E6ABD">
        <w:rPr>
          <w:rFonts w:ascii="Tahoma" w:hAnsi="Tahoma" w:cs="Tahoma"/>
          <w:color w:val="000000" w:themeColor="text1"/>
          <w:sz w:val="22"/>
          <w:szCs w:val="22"/>
        </w:rPr>
        <w:t>En el caso de las Grabaciones, se cuentan con varias características que deben de mantener debido a la posible falla en tecnologías. Los siguientes puntos enumeran el procedimiento a utilizar:</w:t>
      </w:r>
    </w:p>
    <w:p w:rsidR="000B1331"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Para la grabación de las órdenes que se giran, de las cotizaciones (cuando corresponda) y de las concertaciones, se utilizará un equipo que consiste en una aplicación de cómputo conectada a las extensiones del personal de área de Inversiones. La aplicación se activa en cuanto se descuelga la bocina de las extensiones conectadas, y esto graba la llamada en proceso en el disco duro de la computadora que tiene instalada la aplicación.</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Las concertaciones de operaciones de deuda realizadas mediante medios electrónicos deberán contar con una ficha de confirmación proporcionada por el proveedor del sistema (MEI, SIPO</w:t>
      </w:r>
      <w:r w:rsidR="00050FAE"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REMATE</w:t>
      </w:r>
      <w:r w:rsidR="00050FAE" w:rsidRPr="008E6ABD">
        <w:rPr>
          <w:rFonts w:ascii="Tahoma" w:hAnsi="Tahoma" w:cs="Tahoma"/>
          <w:color w:val="000000" w:themeColor="text1"/>
          <w:sz w:val="22"/>
          <w:szCs w:val="22"/>
        </w:rPr>
        <w:t>, entre otros</w:t>
      </w:r>
      <w:r w:rsidRPr="008E6ABD">
        <w:rPr>
          <w:rFonts w:ascii="Tahoma" w:hAnsi="Tahoma" w:cs="Tahoma"/>
          <w:color w:val="000000" w:themeColor="text1"/>
          <w:sz w:val="22"/>
          <w:szCs w:val="22"/>
        </w:rPr>
        <w:t>), la cual deberá contener como mínimo día, hora, contraparte con la que fue pactada la operación, instrumento, monto, precio o tasa, fecha de liquidación, y deberá  precisar cuál parte fue la vendedora y cuál la compradora; en caso de ser una operación de solicitud de cotización, deberá contener al menos dos cotizaciones más, de proveedores diferentes de aquel con quien se pactó la operación. En el caso de una operación realizada por corros, ésta se considera que es la del mejor precio del mercado, por lo cual no se requiere otra cotización.</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La grabación de las cotizaciones permanecerá en custodia del área de Sistemas por 24 meses. El </w:t>
      </w:r>
      <w:r w:rsidR="008E6ABD">
        <w:rPr>
          <w:rFonts w:ascii="Tahoma" w:hAnsi="Tahoma" w:cs="Tahoma"/>
          <w:b/>
          <w:color w:val="000000" w:themeColor="text1"/>
          <w:sz w:val="22"/>
          <w:szCs w:val="22"/>
        </w:rPr>
        <w:t>Gerente de Control del Proceso de Inversión</w:t>
      </w:r>
      <w:r w:rsidR="00034D8F" w:rsidRPr="008E6ABD">
        <w:rPr>
          <w:rFonts w:ascii="Tahoma" w:hAnsi="Tahoma" w:cs="Tahoma"/>
          <w:b/>
          <w:color w:val="000000" w:themeColor="text1"/>
          <w:sz w:val="22"/>
          <w:szCs w:val="22"/>
        </w:rPr>
        <w:t xml:space="preserve"> </w:t>
      </w:r>
      <w:r w:rsidRPr="008E6ABD">
        <w:rPr>
          <w:rFonts w:ascii="Tahoma" w:hAnsi="Tahoma" w:cs="Tahoma"/>
          <w:color w:val="000000" w:themeColor="text1"/>
          <w:sz w:val="22"/>
          <w:szCs w:val="22"/>
        </w:rPr>
        <w:lastRenderedPageBreak/>
        <w:t>contarán con clave de acceso al sistema de grabación y podrán, a su discreción, lleva</w:t>
      </w:r>
      <w:r w:rsidR="0054023A" w:rsidRPr="008E6ABD">
        <w:rPr>
          <w:rFonts w:ascii="Tahoma" w:hAnsi="Tahoma" w:cs="Tahoma"/>
          <w:color w:val="000000" w:themeColor="text1"/>
          <w:sz w:val="22"/>
          <w:szCs w:val="22"/>
        </w:rPr>
        <w:t>r a cabo revisiones aleatorias.</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Las fichas de confirmación de operaciones de deuda proporcionadas por el proveedor de los sistemas electrónicos (MEI, SIPO, REMATE</w:t>
      </w:r>
      <w:r w:rsidR="00050FAE" w:rsidRPr="008E6ABD">
        <w:rPr>
          <w:rFonts w:ascii="Tahoma" w:hAnsi="Tahoma" w:cs="Tahoma"/>
          <w:color w:val="000000" w:themeColor="text1"/>
          <w:sz w:val="22"/>
          <w:szCs w:val="22"/>
        </w:rPr>
        <w:t>, entre otros</w:t>
      </w:r>
      <w:r w:rsidRPr="008E6ABD">
        <w:rPr>
          <w:rFonts w:ascii="Tahoma" w:hAnsi="Tahoma" w:cs="Tahoma"/>
          <w:color w:val="000000" w:themeColor="text1"/>
          <w:sz w:val="22"/>
          <w:szCs w:val="22"/>
        </w:rPr>
        <w:t xml:space="preserve">) permanecerán guardadas electrónicamente y en custodia por el área de Sistemas por 24 meses. </w:t>
      </w:r>
      <w:r w:rsidR="00050FAE" w:rsidRPr="008E6ABD">
        <w:rPr>
          <w:rFonts w:ascii="Tahoma" w:hAnsi="Tahoma" w:cs="Tahoma"/>
          <w:color w:val="000000" w:themeColor="text1"/>
          <w:sz w:val="22"/>
          <w:szCs w:val="22"/>
        </w:rPr>
        <w:t xml:space="preserve">El </w:t>
      </w:r>
      <w:r w:rsidRPr="008E6ABD">
        <w:rPr>
          <w:rFonts w:ascii="Tahoma" w:hAnsi="Tahoma" w:cs="Tahoma"/>
          <w:color w:val="000000" w:themeColor="text1"/>
          <w:sz w:val="22"/>
          <w:szCs w:val="22"/>
        </w:rPr>
        <w:t>responsable de</w:t>
      </w:r>
      <w:r w:rsidR="0054023A" w:rsidRPr="008E6ABD">
        <w:rPr>
          <w:rFonts w:ascii="Tahoma" w:hAnsi="Tahoma" w:cs="Tahoma"/>
          <w:color w:val="000000" w:themeColor="text1"/>
          <w:sz w:val="22"/>
          <w:szCs w:val="22"/>
        </w:rPr>
        <w:t xml:space="preserve"> </w:t>
      </w:r>
      <w:r w:rsidRPr="008E6ABD">
        <w:rPr>
          <w:rFonts w:ascii="Tahoma" w:hAnsi="Tahoma" w:cs="Tahoma"/>
          <w:color w:val="000000" w:themeColor="text1"/>
          <w:sz w:val="22"/>
          <w:szCs w:val="22"/>
        </w:rPr>
        <w:t>l</w:t>
      </w:r>
      <w:r w:rsidR="0054023A" w:rsidRPr="008E6ABD">
        <w:rPr>
          <w:rFonts w:ascii="Tahoma" w:hAnsi="Tahoma" w:cs="Tahoma"/>
          <w:color w:val="000000" w:themeColor="text1"/>
          <w:sz w:val="22"/>
          <w:szCs w:val="22"/>
        </w:rPr>
        <w:t>a</w:t>
      </w:r>
      <w:r w:rsidR="00050FAE" w:rsidRPr="008E6ABD">
        <w:rPr>
          <w:rFonts w:ascii="Tahoma" w:hAnsi="Tahoma" w:cs="Tahoma"/>
          <w:color w:val="000000" w:themeColor="text1"/>
          <w:sz w:val="22"/>
          <w:szCs w:val="22"/>
        </w:rPr>
        <w:t xml:space="preserve"> </w:t>
      </w:r>
      <w:r w:rsidR="00104510"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CI</w:t>
      </w:r>
      <w:r w:rsidR="00050FAE" w:rsidRPr="008E6ABD">
        <w:rPr>
          <w:rFonts w:ascii="Tahoma" w:hAnsi="Tahoma" w:cs="Tahoma"/>
          <w:color w:val="000000" w:themeColor="text1"/>
          <w:sz w:val="22"/>
          <w:szCs w:val="22"/>
        </w:rPr>
        <w:t xml:space="preserve"> (o las personas que designe), el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 xml:space="preserve"> contarán con permisos a la carpeta donde se encuentren en custodia y podrán, a su discreción, llevar a cabo revisiones aleatorias.</w:t>
      </w:r>
    </w:p>
    <w:p w:rsidR="0054023A"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El sistema de grabación o mecanismo de conservación en medios magnéticos o documentales será capaz de identificar en el propio equipo cualquier tipo de cotización y operación concertada que solicite </w:t>
      </w:r>
      <w:r w:rsidR="0054023A" w:rsidRPr="008E6ABD">
        <w:rPr>
          <w:rFonts w:ascii="Tahoma" w:hAnsi="Tahoma" w:cs="Tahoma"/>
          <w:color w:val="000000" w:themeColor="text1"/>
          <w:sz w:val="22"/>
          <w:szCs w:val="22"/>
        </w:rPr>
        <w:t>la</w:t>
      </w:r>
      <w:r w:rsidR="00050FAE" w:rsidRPr="008E6ABD">
        <w:rPr>
          <w:rFonts w:ascii="Tahoma" w:hAnsi="Tahoma" w:cs="Tahoma"/>
          <w:color w:val="000000" w:themeColor="text1"/>
          <w:sz w:val="22"/>
          <w:szCs w:val="22"/>
        </w:rPr>
        <w:t xml:space="preserve"> </w:t>
      </w:r>
      <w:r w:rsidR="00104510"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CI</w:t>
      </w:r>
      <w:r w:rsidR="00050FAE" w:rsidRPr="008E6ABD">
        <w:rPr>
          <w:rFonts w:ascii="Tahoma" w:hAnsi="Tahoma" w:cs="Tahoma"/>
          <w:color w:val="000000" w:themeColor="text1"/>
          <w:sz w:val="22"/>
          <w:szCs w:val="22"/>
        </w:rPr>
        <w:t xml:space="preserve">, el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w:t>
      </w:r>
    </w:p>
    <w:p w:rsidR="000B1331" w:rsidRPr="008E6ABD" w:rsidRDefault="000B1331" w:rsidP="00262502">
      <w:pPr>
        <w:pStyle w:val="VIETA1"/>
        <w:numPr>
          <w:ilvl w:val="2"/>
          <w:numId w:val="18"/>
        </w:numPr>
        <w:ind w:left="1616" w:right="284" w:hanging="357"/>
        <w:rPr>
          <w:rFonts w:ascii="Tahoma" w:hAnsi="Tahoma" w:cs="Tahoma"/>
          <w:color w:val="000000" w:themeColor="text1"/>
          <w:sz w:val="22"/>
          <w:szCs w:val="22"/>
        </w:rPr>
      </w:pPr>
      <w:r w:rsidRPr="008E6ABD">
        <w:rPr>
          <w:rFonts w:ascii="Tahoma" w:hAnsi="Tahoma" w:cs="Tahoma"/>
          <w:color w:val="000000" w:themeColor="text1"/>
          <w:sz w:val="22"/>
          <w:szCs w:val="22"/>
        </w:rPr>
        <w:t>Adicional a las grabaciones y confirmaciones, las cotizaciones y concertaciones quedarán asentadas en el registro de transacciones</w:t>
      </w:r>
      <w:r w:rsidR="0054023A" w:rsidRPr="008E6ABD">
        <w:rPr>
          <w:rFonts w:ascii="Tahoma" w:hAnsi="Tahoma" w:cs="Tahoma"/>
          <w:color w:val="000000" w:themeColor="text1"/>
          <w:sz w:val="22"/>
          <w:szCs w:val="22"/>
        </w:rPr>
        <w:t>, en la bitácora de transacciones y cotizaciones y</w:t>
      </w:r>
      <w:r w:rsidRPr="008E6ABD">
        <w:rPr>
          <w:rFonts w:ascii="Tahoma" w:hAnsi="Tahoma" w:cs="Tahoma"/>
          <w:color w:val="000000" w:themeColor="text1"/>
          <w:sz w:val="22"/>
          <w:szCs w:val="22"/>
        </w:rPr>
        <w:t xml:space="preserve"> por el operador que las haya realizado, el mismo día, para que se proceda al proceso de verificación y registro y control. Dicha información, en los dos sistemas, estará a disp</w:t>
      </w:r>
      <w:r w:rsidR="0054023A" w:rsidRPr="008E6ABD">
        <w:rPr>
          <w:rFonts w:ascii="Tahoma" w:hAnsi="Tahoma" w:cs="Tahoma"/>
          <w:color w:val="000000" w:themeColor="text1"/>
          <w:sz w:val="22"/>
          <w:szCs w:val="22"/>
        </w:rPr>
        <w:t>osición de</w:t>
      </w:r>
      <w:r w:rsidR="00050FAE" w:rsidRPr="008E6ABD">
        <w:rPr>
          <w:rFonts w:ascii="Tahoma" w:hAnsi="Tahoma" w:cs="Tahoma"/>
          <w:color w:val="000000" w:themeColor="text1"/>
          <w:sz w:val="22"/>
          <w:szCs w:val="22"/>
        </w:rPr>
        <w:t xml:space="preserve"> la </w:t>
      </w:r>
      <w:r w:rsidR="00104510" w:rsidRPr="008E6ABD">
        <w:rPr>
          <w:rFonts w:ascii="Tahoma" w:hAnsi="Tahoma" w:cs="Tahoma"/>
          <w:b/>
          <w:color w:val="000000" w:themeColor="text1"/>
          <w:sz w:val="22"/>
          <w:szCs w:val="22"/>
        </w:rPr>
        <w:t xml:space="preserve">Gerencia Sr de </w:t>
      </w:r>
      <w:r w:rsidR="00034D8F" w:rsidRPr="008E6ABD">
        <w:rPr>
          <w:rFonts w:ascii="Tahoma" w:hAnsi="Tahoma" w:cs="Tahoma"/>
          <w:b/>
          <w:color w:val="000000" w:themeColor="text1"/>
          <w:sz w:val="22"/>
          <w:szCs w:val="22"/>
        </w:rPr>
        <w:t>CI</w:t>
      </w:r>
      <w:r w:rsidR="00050FAE" w:rsidRPr="008E6ABD">
        <w:rPr>
          <w:rFonts w:ascii="Tahoma" w:hAnsi="Tahoma" w:cs="Tahoma"/>
          <w:color w:val="000000" w:themeColor="text1"/>
          <w:sz w:val="22"/>
          <w:szCs w:val="22"/>
        </w:rPr>
        <w:t xml:space="preserve">, </w:t>
      </w:r>
      <w:r w:rsidR="008E6ABD">
        <w:rPr>
          <w:rFonts w:ascii="Tahoma" w:hAnsi="Tahoma" w:cs="Tahoma"/>
          <w:b/>
          <w:color w:val="000000" w:themeColor="text1"/>
          <w:sz w:val="22"/>
          <w:szCs w:val="22"/>
        </w:rPr>
        <w:t>Gerente de Control del Proceso de Inversión</w:t>
      </w:r>
      <w:r w:rsidRPr="008E6ABD">
        <w:rPr>
          <w:rFonts w:ascii="Tahoma" w:hAnsi="Tahoma" w:cs="Tahoma"/>
          <w:color w:val="000000" w:themeColor="text1"/>
          <w:sz w:val="22"/>
          <w:szCs w:val="22"/>
        </w:rPr>
        <w:t>, así como para auditorías tanto normativas como externas e internas.</w:t>
      </w:r>
    </w:p>
    <w:p w:rsidR="000B1331" w:rsidRPr="008E6ABD" w:rsidRDefault="00222E60" w:rsidP="00262502">
      <w:pPr>
        <w:pStyle w:val="VIETA1"/>
        <w:numPr>
          <w:ilvl w:val="2"/>
          <w:numId w:val="18"/>
        </w:numPr>
        <w:spacing w:after="160"/>
        <w:ind w:left="1620" w:right="288"/>
        <w:rPr>
          <w:rFonts w:ascii="Tahoma" w:hAnsi="Tahoma" w:cs="Tahoma"/>
          <w:color w:val="000000" w:themeColor="text1"/>
          <w:sz w:val="22"/>
          <w:szCs w:val="22"/>
        </w:rPr>
      </w:pPr>
      <w:r w:rsidRPr="008E6ABD">
        <w:rPr>
          <w:rFonts w:ascii="Tahoma" w:hAnsi="Tahoma" w:cs="Tahoma"/>
          <w:color w:val="000000" w:themeColor="text1"/>
          <w:sz w:val="22"/>
          <w:szCs w:val="22"/>
        </w:rPr>
        <w:t>S</w:t>
      </w:r>
      <w:r w:rsidR="000B1331" w:rsidRPr="008E6ABD">
        <w:rPr>
          <w:rFonts w:ascii="Tahoma" w:hAnsi="Tahoma" w:cs="Tahoma"/>
          <w:color w:val="000000" w:themeColor="text1"/>
          <w:sz w:val="22"/>
          <w:szCs w:val="22"/>
        </w:rPr>
        <w:t xml:space="preserve">e </w:t>
      </w:r>
      <w:r w:rsidRPr="008E6ABD">
        <w:rPr>
          <w:rFonts w:ascii="Tahoma" w:hAnsi="Tahoma" w:cs="Tahoma"/>
          <w:color w:val="000000" w:themeColor="text1"/>
          <w:sz w:val="22"/>
          <w:szCs w:val="22"/>
        </w:rPr>
        <w:t>incluirán en</w:t>
      </w:r>
      <w:r w:rsidR="000B1331" w:rsidRPr="008E6ABD">
        <w:rPr>
          <w:rFonts w:ascii="Tahoma" w:hAnsi="Tahoma" w:cs="Tahoma"/>
          <w:color w:val="000000" w:themeColor="text1"/>
          <w:sz w:val="22"/>
          <w:szCs w:val="22"/>
        </w:rPr>
        <w:t xml:space="preserve"> una bitácora diaria </w:t>
      </w:r>
      <w:r w:rsidRPr="008E6ABD">
        <w:rPr>
          <w:rFonts w:ascii="Tahoma" w:hAnsi="Tahoma" w:cs="Tahoma"/>
          <w:color w:val="000000" w:themeColor="text1"/>
          <w:sz w:val="22"/>
          <w:szCs w:val="22"/>
        </w:rPr>
        <w:t xml:space="preserve">todas las </w:t>
      </w:r>
      <w:r w:rsidR="000B1331" w:rsidRPr="008E6ABD">
        <w:rPr>
          <w:rFonts w:ascii="Tahoma" w:hAnsi="Tahoma" w:cs="Tahoma"/>
          <w:color w:val="000000" w:themeColor="text1"/>
          <w:sz w:val="22"/>
          <w:szCs w:val="22"/>
        </w:rPr>
        <w:t>cotizaciones</w:t>
      </w:r>
      <w:r w:rsidRPr="008E6ABD">
        <w:rPr>
          <w:rFonts w:ascii="Tahoma" w:hAnsi="Tahoma" w:cs="Tahoma"/>
          <w:color w:val="000000" w:themeColor="text1"/>
          <w:sz w:val="22"/>
          <w:szCs w:val="22"/>
        </w:rPr>
        <w:t>, órdenes</w:t>
      </w:r>
      <w:r w:rsidR="000B1331" w:rsidRPr="008E6ABD">
        <w:rPr>
          <w:rFonts w:ascii="Tahoma" w:hAnsi="Tahoma" w:cs="Tahoma"/>
          <w:color w:val="000000" w:themeColor="text1"/>
          <w:sz w:val="22"/>
          <w:szCs w:val="22"/>
        </w:rPr>
        <w:t xml:space="preserve"> y concertaciones.</w:t>
      </w:r>
    </w:p>
    <w:p w:rsidR="0054023A" w:rsidRPr="008E6ABD" w:rsidRDefault="0054023A"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Órdenes a través de Sistemas Automatizados</w:t>
      </w:r>
    </w:p>
    <w:p w:rsidR="0054023A" w:rsidRPr="008E6ABD" w:rsidRDefault="0054023A" w:rsidP="00262502">
      <w:pPr>
        <w:pStyle w:val="VIETA1"/>
        <w:numPr>
          <w:ilvl w:val="0"/>
          <w:numId w:val="0"/>
        </w:numPr>
        <w:spacing w:after="160"/>
        <w:ind w:left="1260"/>
        <w:rPr>
          <w:rFonts w:ascii="Tahoma" w:hAnsi="Tahoma" w:cs="Tahoma"/>
          <w:color w:val="000000" w:themeColor="text1"/>
          <w:sz w:val="22"/>
          <w:szCs w:val="22"/>
        </w:rPr>
      </w:pPr>
      <w:r w:rsidRPr="008E6ABD">
        <w:rPr>
          <w:rFonts w:ascii="Tahoma" w:hAnsi="Tahoma" w:cs="Tahoma"/>
          <w:color w:val="000000" w:themeColor="text1"/>
          <w:sz w:val="22"/>
          <w:szCs w:val="22"/>
        </w:rPr>
        <w:t>Cuando la orden que se registre como postura en un mercado organizado (MexDer o CME, NASDAQ, BMV, etc</w:t>
      </w:r>
      <w:r w:rsidR="00050FAE" w:rsidRPr="008E6ABD">
        <w:rPr>
          <w:rFonts w:ascii="Tahoma" w:hAnsi="Tahoma" w:cs="Tahoma"/>
          <w:color w:val="000000" w:themeColor="text1"/>
          <w:sz w:val="22"/>
          <w:szCs w:val="22"/>
        </w:rPr>
        <w:t>.</w:t>
      </w:r>
      <w:r w:rsidRPr="008E6ABD">
        <w:rPr>
          <w:rFonts w:ascii="Tahoma" w:hAnsi="Tahoma" w:cs="Tahoma"/>
          <w:color w:val="000000" w:themeColor="text1"/>
          <w:sz w:val="22"/>
          <w:szCs w:val="22"/>
        </w:rPr>
        <w:t>) a través del sistema automatizado del intermediario, no habrá llamada telefónica y, en consecuencia, tampoco grabación alguna. En esos casos, la evidencia de la postura estará en el propio sistema automatizado. En esos casos, la operación se registrará en el sistema con la indicación de que la concertación ha sido por medio electrónico.</w:t>
      </w:r>
    </w:p>
    <w:p w:rsidR="0054023A" w:rsidRPr="008E6ABD" w:rsidRDefault="0054023A" w:rsidP="00262502">
      <w:pPr>
        <w:pStyle w:val="VIETA1"/>
        <w:numPr>
          <w:ilvl w:val="0"/>
          <w:numId w:val="0"/>
        </w:numPr>
        <w:spacing w:after="160"/>
        <w:ind w:left="1260"/>
        <w:rPr>
          <w:rFonts w:ascii="Tahoma" w:hAnsi="Tahoma" w:cs="Tahoma"/>
          <w:color w:val="000000" w:themeColor="text1"/>
          <w:sz w:val="22"/>
          <w:szCs w:val="22"/>
        </w:rPr>
      </w:pPr>
      <w:r w:rsidRPr="008E6ABD">
        <w:rPr>
          <w:rFonts w:ascii="Tahoma" w:hAnsi="Tahoma" w:cs="Tahoma"/>
          <w:color w:val="000000" w:themeColor="text1"/>
          <w:sz w:val="22"/>
          <w:szCs w:val="22"/>
        </w:rPr>
        <w:t xml:space="preserve">Se deberá de incluir las órdenes en la bitácora y si fueron </w:t>
      </w:r>
      <w:r w:rsidR="00222E60" w:rsidRPr="008E6ABD">
        <w:rPr>
          <w:rFonts w:ascii="Tahoma" w:hAnsi="Tahoma" w:cs="Tahoma"/>
          <w:color w:val="000000" w:themeColor="text1"/>
          <w:sz w:val="22"/>
          <w:szCs w:val="22"/>
        </w:rPr>
        <w:t>ejecutadas o no.</w:t>
      </w:r>
    </w:p>
    <w:p w:rsidR="0054023A" w:rsidRPr="008E6ABD" w:rsidRDefault="0054023A"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Procedimiento para Guardar los Correos Electrónicos</w:t>
      </w:r>
    </w:p>
    <w:p w:rsidR="0054023A" w:rsidRPr="008E6ABD" w:rsidRDefault="0054023A"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En el caso de los correos, se deberán de guardar en una carpeta de cotizaciones y ordenes independiente del correo general. Esto estará por al menos 24 meses en los correos.</w:t>
      </w:r>
    </w:p>
    <w:p w:rsidR="0054023A" w:rsidRPr="008E6ABD" w:rsidRDefault="0054023A" w:rsidP="00262502">
      <w:pPr>
        <w:pStyle w:val="VIETA1"/>
        <w:numPr>
          <w:ilvl w:val="0"/>
          <w:numId w:val="0"/>
        </w:numPr>
        <w:spacing w:after="160"/>
        <w:ind w:left="1224" w:right="0"/>
        <w:rPr>
          <w:rFonts w:ascii="Tahoma" w:hAnsi="Tahoma" w:cs="Tahoma"/>
          <w:color w:val="000000" w:themeColor="text1"/>
          <w:sz w:val="22"/>
          <w:szCs w:val="22"/>
        </w:rPr>
      </w:pPr>
      <w:r w:rsidRPr="008E6ABD">
        <w:rPr>
          <w:rFonts w:ascii="Tahoma" w:hAnsi="Tahoma" w:cs="Tahoma"/>
          <w:color w:val="000000" w:themeColor="text1"/>
          <w:sz w:val="22"/>
          <w:szCs w:val="22"/>
        </w:rPr>
        <w:t>Se debe de incluir todas las cotizaciones y ordenes por medio de correos en la bitácora</w:t>
      </w:r>
      <w:r w:rsidR="00222E60" w:rsidRPr="008E6ABD">
        <w:rPr>
          <w:rFonts w:ascii="Tahoma" w:hAnsi="Tahoma" w:cs="Tahoma"/>
          <w:color w:val="000000" w:themeColor="text1"/>
          <w:sz w:val="22"/>
          <w:szCs w:val="22"/>
        </w:rPr>
        <w:t xml:space="preserve"> y si fueron ejecutadas o no.</w:t>
      </w:r>
    </w:p>
    <w:p w:rsidR="000B1331" w:rsidRPr="008E6ABD" w:rsidRDefault="0054023A" w:rsidP="00262502">
      <w:pPr>
        <w:pStyle w:val="VIETA1"/>
        <w:numPr>
          <w:ilvl w:val="2"/>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Información que debe de guardar la bitácora</w:t>
      </w:r>
    </w:p>
    <w:p w:rsidR="0049548F" w:rsidRPr="008E6ABD" w:rsidRDefault="0054023A" w:rsidP="00C57FAB">
      <w:pPr>
        <w:pStyle w:val="VIETA1"/>
        <w:numPr>
          <w:ilvl w:val="0"/>
          <w:numId w:val="0"/>
        </w:numPr>
        <w:spacing w:before="120" w:after="120"/>
        <w:ind w:left="1224" w:right="0"/>
        <w:rPr>
          <w:rFonts w:ascii="Tahoma" w:hAnsi="Tahoma" w:cs="Tahoma"/>
          <w:color w:val="000000" w:themeColor="text1"/>
          <w:sz w:val="22"/>
          <w:szCs w:val="22"/>
        </w:rPr>
      </w:pPr>
      <w:r w:rsidRPr="008E6ABD">
        <w:rPr>
          <w:rFonts w:ascii="Tahoma" w:hAnsi="Tahoma" w:cs="Tahoma"/>
          <w:color w:val="000000" w:themeColor="text1"/>
          <w:sz w:val="22"/>
          <w:szCs w:val="22"/>
        </w:rPr>
        <w:t>Como mecanismo de contingencia en caso de falla del sistema de grabación, se hará una bitácora diaria de cotizaciones y concertaciones en donde quedarán asentadas las operaciones realizadas en los periodos de falla del sistema de grabación. En dicha bitácora se asentará</w:t>
      </w:r>
      <w:r w:rsidR="0049548F" w:rsidRPr="008E6ABD">
        <w:rPr>
          <w:rFonts w:ascii="Tahoma" w:hAnsi="Tahoma" w:cs="Tahoma"/>
          <w:color w:val="000000" w:themeColor="text1"/>
          <w:sz w:val="22"/>
          <w:szCs w:val="22"/>
        </w:rPr>
        <w:t>:</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Fecha de la llamada,</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H</w:t>
      </w:r>
      <w:r w:rsidR="0054023A" w:rsidRPr="008E6ABD">
        <w:rPr>
          <w:rFonts w:ascii="Tahoma" w:hAnsi="Tahoma" w:cs="Tahoma"/>
          <w:color w:val="000000" w:themeColor="text1"/>
          <w:sz w:val="22"/>
          <w:szCs w:val="22"/>
        </w:rPr>
        <w:t xml:space="preserve">ora,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lastRenderedPageBreak/>
        <w:t>Tipo de operación (compra, venta),</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T</w:t>
      </w:r>
      <w:r w:rsidR="0054023A" w:rsidRPr="008E6ABD">
        <w:rPr>
          <w:rFonts w:ascii="Tahoma" w:hAnsi="Tahoma" w:cs="Tahoma"/>
          <w:color w:val="000000" w:themeColor="text1"/>
          <w:sz w:val="22"/>
          <w:szCs w:val="22"/>
        </w:rPr>
        <w:t xml:space="preserve">ipo de instrumento,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N</w:t>
      </w:r>
      <w:r w:rsidR="0054023A" w:rsidRPr="008E6ABD">
        <w:rPr>
          <w:rFonts w:ascii="Tahoma" w:hAnsi="Tahoma" w:cs="Tahoma"/>
          <w:color w:val="000000" w:themeColor="text1"/>
          <w:sz w:val="22"/>
          <w:szCs w:val="22"/>
        </w:rPr>
        <w:t xml:space="preserve">ivel cotizado y/o asignado,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N</w:t>
      </w:r>
      <w:r w:rsidR="0054023A" w:rsidRPr="008E6ABD">
        <w:rPr>
          <w:rFonts w:ascii="Tahoma" w:hAnsi="Tahoma" w:cs="Tahoma"/>
          <w:color w:val="000000" w:themeColor="text1"/>
          <w:sz w:val="22"/>
          <w:szCs w:val="22"/>
        </w:rPr>
        <w:t xml:space="preserve">ombre del operador, </w:t>
      </w:r>
    </w:p>
    <w:p w:rsidR="0049548F" w:rsidRPr="008E6ABD" w:rsidRDefault="0049548F" w:rsidP="00262502">
      <w:pPr>
        <w:pStyle w:val="VIETA1"/>
        <w:numPr>
          <w:ilvl w:val="0"/>
          <w:numId w:val="25"/>
        </w:numPr>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E</w:t>
      </w:r>
      <w:r w:rsidR="0054023A" w:rsidRPr="008E6ABD">
        <w:rPr>
          <w:rFonts w:ascii="Tahoma" w:hAnsi="Tahoma" w:cs="Tahoma"/>
          <w:color w:val="000000" w:themeColor="text1"/>
          <w:sz w:val="22"/>
          <w:szCs w:val="22"/>
        </w:rPr>
        <w:t>xtensión telefónica en la que se hizo la llamada</w:t>
      </w:r>
      <w:r w:rsidRPr="008E6ABD">
        <w:rPr>
          <w:rFonts w:ascii="Tahoma" w:hAnsi="Tahoma" w:cs="Tahoma"/>
          <w:color w:val="000000" w:themeColor="text1"/>
          <w:sz w:val="22"/>
          <w:szCs w:val="22"/>
        </w:rPr>
        <w:t xml:space="preserve"> o en su caso chat (Bloomberg, Reuters)</w:t>
      </w:r>
      <w:r w:rsidR="0054023A" w:rsidRPr="008E6ABD">
        <w:rPr>
          <w:rFonts w:ascii="Tahoma" w:hAnsi="Tahoma" w:cs="Tahoma"/>
          <w:color w:val="000000" w:themeColor="text1"/>
          <w:sz w:val="22"/>
          <w:szCs w:val="22"/>
        </w:rPr>
        <w:t xml:space="preserve">, </w:t>
      </w:r>
    </w:p>
    <w:p w:rsidR="0049548F" w:rsidRPr="008E6ABD" w:rsidRDefault="0049548F" w:rsidP="00262502">
      <w:pPr>
        <w:pStyle w:val="VIETA1"/>
        <w:numPr>
          <w:ilvl w:val="0"/>
          <w:numId w:val="25"/>
        </w:numPr>
        <w:spacing w:after="160"/>
        <w:ind w:left="1996" w:right="0" w:hanging="357"/>
        <w:rPr>
          <w:rFonts w:ascii="Tahoma" w:hAnsi="Tahoma" w:cs="Tahoma"/>
          <w:color w:val="000000" w:themeColor="text1"/>
          <w:sz w:val="22"/>
          <w:szCs w:val="22"/>
        </w:rPr>
      </w:pPr>
      <w:r w:rsidRPr="008E6ABD">
        <w:rPr>
          <w:rFonts w:ascii="Tahoma" w:hAnsi="Tahoma" w:cs="Tahoma"/>
          <w:color w:val="000000" w:themeColor="text1"/>
          <w:sz w:val="22"/>
          <w:szCs w:val="22"/>
        </w:rPr>
        <w:t>I</w:t>
      </w:r>
      <w:r w:rsidR="0054023A" w:rsidRPr="008E6ABD">
        <w:rPr>
          <w:rFonts w:ascii="Tahoma" w:hAnsi="Tahoma" w:cs="Tahoma"/>
          <w:color w:val="000000" w:themeColor="text1"/>
          <w:sz w:val="22"/>
          <w:szCs w:val="22"/>
        </w:rPr>
        <w:t>ntermediario con quien se operó</w:t>
      </w:r>
      <w:r w:rsidRPr="008E6ABD">
        <w:rPr>
          <w:rFonts w:ascii="Tahoma" w:hAnsi="Tahoma" w:cs="Tahoma"/>
          <w:color w:val="000000" w:themeColor="text1"/>
          <w:sz w:val="22"/>
          <w:szCs w:val="22"/>
        </w:rPr>
        <w:t>.</w:t>
      </w:r>
      <w:r w:rsidR="0054023A" w:rsidRPr="008E6ABD">
        <w:rPr>
          <w:rFonts w:ascii="Tahoma" w:hAnsi="Tahoma" w:cs="Tahoma"/>
          <w:color w:val="000000" w:themeColor="text1"/>
          <w:sz w:val="22"/>
          <w:szCs w:val="22"/>
        </w:rPr>
        <w:t xml:space="preserve"> </w:t>
      </w:r>
    </w:p>
    <w:p w:rsidR="0021673F" w:rsidRPr="008E6ABD" w:rsidRDefault="0021673F" w:rsidP="00262502">
      <w:pPr>
        <w:pStyle w:val="VIETA1"/>
        <w:numPr>
          <w:ilvl w:val="1"/>
          <w:numId w:val="8"/>
        </w:numPr>
        <w:spacing w:after="160"/>
        <w:ind w:right="0"/>
        <w:rPr>
          <w:rFonts w:ascii="Tahoma" w:hAnsi="Tahoma" w:cs="Tahoma"/>
          <w:b/>
          <w:color w:val="000000" w:themeColor="text1"/>
          <w:sz w:val="22"/>
          <w:szCs w:val="22"/>
        </w:rPr>
      </w:pPr>
      <w:r w:rsidRPr="008E6ABD">
        <w:rPr>
          <w:rFonts w:ascii="Tahoma" w:hAnsi="Tahoma" w:cs="Tahoma"/>
          <w:b/>
          <w:color w:val="000000" w:themeColor="text1"/>
          <w:sz w:val="22"/>
          <w:szCs w:val="22"/>
        </w:rPr>
        <w:t>Consideraciones de Excepción para la revisión de Liquidez y Cotizaciones</w:t>
      </w:r>
    </w:p>
    <w:p w:rsidR="00542C7B" w:rsidRPr="008E6ABD" w:rsidRDefault="00062CAD" w:rsidP="00262502">
      <w:pPr>
        <w:pStyle w:val="VIETA1"/>
        <w:numPr>
          <w:ilvl w:val="0"/>
          <w:numId w:val="0"/>
        </w:numPr>
        <w:spacing w:after="160"/>
        <w:ind w:left="810"/>
        <w:rPr>
          <w:rFonts w:ascii="Tahoma" w:hAnsi="Tahoma" w:cs="Tahoma"/>
          <w:color w:val="000000" w:themeColor="text1"/>
          <w:sz w:val="22"/>
          <w:szCs w:val="22"/>
        </w:rPr>
      </w:pPr>
      <w:r w:rsidRPr="008E6ABD">
        <w:rPr>
          <w:rFonts w:ascii="Tahoma" w:hAnsi="Tahoma" w:cs="Tahoma"/>
          <w:color w:val="000000" w:themeColor="text1"/>
          <w:sz w:val="22"/>
          <w:szCs w:val="22"/>
        </w:rPr>
        <w:t>En caso de que el intento de realizar la mejor ejecución con instrumentos de deuda, tienda a mover el mercado en contra de la estrategia, el operador de Inversiones puede ejecutar la operación sin obtener cotizaciones, expresándolo en los registros de la bitácora, se entenderá que aprueba también la intención del operador de concertar sin cotizaciones previas.</w:t>
      </w:r>
    </w:p>
    <w:p w:rsidR="00542C7B" w:rsidRPr="008E6ABD" w:rsidRDefault="00542C7B" w:rsidP="00262502">
      <w:pPr>
        <w:pStyle w:val="VIETA1"/>
        <w:numPr>
          <w:ilvl w:val="0"/>
          <w:numId w:val="0"/>
        </w:numPr>
        <w:spacing w:after="160"/>
        <w:ind w:left="810" w:right="0"/>
        <w:rPr>
          <w:rFonts w:ascii="Tahoma" w:hAnsi="Tahoma" w:cs="Tahoma"/>
          <w:b/>
          <w:i/>
          <w:color w:val="000000" w:themeColor="text1"/>
          <w:sz w:val="22"/>
          <w:szCs w:val="22"/>
        </w:rPr>
      </w:pPr>
      <w:r w:rsidRPr="008E6ABD">
        <w:rPr>
          <w:rFonts w:ascii="Tahoma" w:hAnsi="Tahoma" w:cs="Tahoma"/>
          <w:color w:val="000000" w:themeColor="text1"/>
          <w:sz w:val="22"/>
          <w:szCs w:val="22"/>
        </w:rPr>
        <w:t>Se consideran como excepciones, las siguientes:</w:t>
      </w:r>
    </w:p>
    <w:p w:rsidR="00630E52" w:rsidRPr="008E6ABD" w:rsidRDefault="00630E52" w:rsidP="00262502">
      <w:pPr>
        <w:pStyle w:val="VIETA1"/>
        <w:numPr>
          <w:ilvl w:val="0"/>
          <w:numId w:val="17"/>
        </w:numPr>
        <w:spacing w:after="160"/>
        <w:ind w:left="1080" w:right="0" w:hanging="270"/>
        <w:rPr>
          <w:rFonts w:ascii="Tahoma" w:hAnsi="Tahoma" w:cs="Tahoma"/>
          <w:color w:val="000000" w:themeColor="text1"/>
          <w:sz w:val="22"/>
          <w:szCs w:val="22"/>
        </w:rPr>
      </w:pPr>
      <w:r w:rsidRPr="008E6ABD">
        <w:rPr>
          <w:rFonts w:ascii="Tahoma" w:hAnsi="Tahoma" w:cs="Tahoma"/>
          <w:color w:val="000000" w:themeColor="text1"/>
          <w:sz w:val="22"/>
          <w:szCs w:val="22"/>
        </w:rPr>
        <w:t>Cotizaciones y posturas para participar en Subasta Primarias de Instrumentos de Renta Variable, ETFs o deuda Gubernamental o Privada</w:t>
      </w:r>
    </w:p>
    <w:p w:rsidR="00630E52" w:rsidRPr="008E6ABD" w:rsidRDefault="00630E52" w:rsidP="00C969A6">
      <w:pPr>
        <w:pStyle w:val="VIETA1"/>
        <w:numPr>
          <w:ilvl w:val="1"/>
          <w:numId w:val="17"/>
        </w:numPr>
        <w:tabs>
          <w:tab w:val="left" w:pos="360"/>
        </w:tabs>
        <w:spacing w:before="80" w:after="80"/>
        <w:ind w:right="0"/>
        <w:rPr>
          <w:rFonts w:ascii="Tahoma" w:hAnsi="Tahoma" w:cs="Tahoma"/>
          <w:color w:val="000000" w:themeColor="text1"/>
          <w:sz w:val="22"/>
          <w:szCs w:val="22"/>
        </w:rPr>
      </w:pPr>
      <w:r w:rsidRPr="008E6ABD">
        <w:rPr>
          <w:rFonts w:ascii="Tahoma" w:hAnsi="Tahoma" w:cs="Tahoma"/>
          <w:color w:val="000000" w:themeColor="text1"/>
          <w:sz w:val="22"/>
          <w:szCs w:val="22"/>
        </w:rPr>
        <w:t>Subastas Primarias o Permutas con Banxico o SHCP</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Con el objeto de tener acceso a la subasta primaria de valores gubernamentales convocadas por Banco de México, el Operador de Inversiones o Director de Inversiones identificará alguno de los intermediarios financieros (contrapartes) que tenga autorizados para operar</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 xml:space="preserve">Siempre que el </w:t>
      </w:r>
      <w:r w:rsidR="00785F68">
        <w:rPr>
          <w:rFonts w:ascii="Tahoma" w:hAnsi="Tahoma" w:cs="Tahoma"/>
          <w:color w:val="000000" w:themeColor="text1"/>
          <w:sz w:val="22"/>
          <w:szCs w:val="22"/>
        </w:rPr>
        <w:t>INFONAVIT</w:t>
      </w:r>
      <w:r w:rsidRPr="008E6ABD">
        <w:rPr>
          <w:rFonts w:ascii="Tahoma" w:hAnsi="Tahoma" w:cs="Tahoma"/>
          <w:color w:val="000000" w:themeColor="text1"/>
          <w:sz w:val="22"/>
          <w:szCs w:val="22"/>
        </w:rPr>
        <w:t xml:space="preserve"> solicite a un intermediario financiero ingresar una postura en el sistema de subastas de Banco de México, se tomará como una postura de compra en firme con dicho intermediario financiero, la cual deberá contar con la llamada donde se especifique en que se desea participar y solo surtirá efectos en caso de haber obtenido asignación por parte de Banco de México.</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No es necesario una cotización extra ya que se considera acceso al mejor precio del mercado al momento de la asignación por parte de Banco de México.</w:t>
      </w:r>
    </w:p>
    <w:p w:rsidR="00630E52" w:rsidRPr="008E6ABD" w:rsidRDefault="00630E52" w:rsidP="00262502">
      <w:pPr>
        <w:pStyle w:val="VIETA1"/>
        <w:numPr>
          <w:ilvl w:val="2"/>
          <w:numId w:val="17"/>
        </w:numPr>
        <w:tabs>
          <w:tab w:val="left" w:pos="360"/>
        </w:tabs>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En todos los casos en que se obtenga asignación de Banco de México (la cual se conoce el día de la subasta), el mismo día el intermediario financiero deberá confirmar y asignar la operación, como una compra de la Siefore liquidable en la fecha que proceda (generalmente será 48 hs. después).</w:t>
      </w:r>
    </w:p>
    <w:p w:rsidR="00F7530D" w:rsidRPr="00262502" w:rsidRDefault="00630E52" w:rsidP="00262502">
      <w:pPr>
        <w:pStyle w:val="VIETA1"/>
        <w:numPr>
          <w:ilvl w:val="2"/>
          <w:numId w:val="17"/>
        </w:numPr>
        <w:tabs>
          <w:tab w:val="left" w:pos="360"/>
        </w:tabs>
        <w:spacing w:after="160"/>
        <w:ind w:left="2041" w:right="0" w:hanging="340"/>
        <w:rPr>
          <w:rFonts w:ascii="Tahoma" w:hAnsi="Tahoma" w:cs="Tahoma"/>
          <w:color w:val="000000" w:themeColor="text1"/>
          <w:sz w:val="22"/>
          <w:szCs w:val="22"/>
        </w:rPr>
      </w:pPr>
      <w:r w:rsidRPr="008E6ABD">
        <w:rPr>
          <w:rFonts w:ascii="Tahoma" w:hAnsi="Tahoma" w:cs="Tahoma"/>
          <w:color w:val="000000" w:themeColor="text1"/>
          <w:sz w:val="22"/>
          <w:szCs w:val="22"/>
        </w:rPr>
        <w:t>La participación en subasta primaria se sujetará a los límites establecidos en cuanto a riesgo contraparte se refiere y cumplirá con mejor ejecución.</w:t>
      </w:r>
    </w:p>
    <w:p w:rsidR="00630E52" w:rsidRPr="008E6ABD" w:rsidRDefault="00655CF6" w:rsidP="00262502">
      <w:pPr>
        <w:pStyle w:val="VIETA1"/>
        <w:numPr>
          <w:ilvl w:val="1"/>
          <w:numId w:val="17"/>
        </w:numPr>
        <w:tabs>
          <w:tab w:val="left" w:pos="360"/>
        </w:tabs>
        <w:ind w:left="1434" w:right="0" w:hanging="357"/>
        <w:rPr>
          <w:rFonts w:ascii="Tahoma" w:hAnsi="Tahoma" w:cs="Tahoma"/>
          <w:color w:val="000000" w:themeColor="text1"/>
          <w:sz w:val="22"/>
          <w:szCs w:val="22"/>
        </w:rPr>
      </w:pPr>
      <w:r w:rsidRPr="008E6ABD">
        <w:rPr>
          <w:rFonts w:ascii="Tahoma" w:hAnsi="Tahoma" w:cs="Tahoma"/>
          <w:color w:val="000000" w:themeColor="text1"/>
          <w:sz w:val="22"/>
          <w:szCs w:val="22"/>
        </w:rPr>
        <w:t>C</w:t>
      </w:r>
      <w:r w:rsidR="00630E52" w:rsidRPr="008E6ABD">
        <w:rPr>
          <w:rFonts w:ascii="Tahoma" w:hAnsi="Tahoma" w:cs="Tahoma"/>
          <w:color w:val="000000" w:themeColor="text1"/>
          <w:sz w:val="22"/>
          <w:szCs w:val="22"/>
        </w:rPr>
        <w:t>olocaciones primarias o secundarias (colocación de acciones por un tenedor que busca venta o bien acciones en tesorería) de instrumentos de renta variable o FIBRAs.</w:t>
      </w:r>
    </w:p>
    <w:p w:rsidR="00630E52" w:rsidRPr="008E6ABD" w:rsidRDefault="00655CF6" w:rsidP="00262502">
      <w:pPr>
        <w:pStyle w:val="VIETA1"/>
        <w:numPr>
          <w:ilvl w:val="1"/>
          <w:numId w:val="17"/>
        </w:numPr>
        <w:tabs>
          <w:tab w:val="left" w:pos="360"/>
        </w:tabs>
        <w:spacing w:after="160"/>
        <w:ind w:left="1434" w:right="0" w:hanging="357"/>
        <w:rPr>
          <w:rFonts w:ascii="Tahoma" w:hAnsi="Tahoma" w:cs="Tahoma"/>
          <w:color w:val="000000" w:themeColor="text1"/>
          <w:sz w:val="22"/>
          <w:szCs w:val="22"/>
        </w:rPr>
      </w:pPr>
      <w:r w:rsidRPr="008E6ABD">
        <w:rPr>
          <w:rFonts w:ascii="Tahoma" w:hAnsi="Tahoma" w:cs="Tahoma"/>
          <w:color w:val="000000" w:themeColor="text1"/>
          <w:sz w:val="22"/>
          <w:szCs w:val="22"/>
        </w:rPr>
        <w:t xml:space="preserve"> C</w:t>
      </w:r>
      <w:r w:rsidR="00630E52" w:rsidRPr="008E6ABD">
        <w:rPr>
          <w:rFonts w:ascii="Tahoma" w:hAnsi="Tahoma" w:cs="Tahoma"/>
          <w:color w:val="000000" w:themeColor="text1"/>
          <w:sz w:val="22"/>
          <w:szCs w:val="22"/>
        </w:rPr>
        <w:t>olocaciones primarias de ETFs, bonos de deuda privada o Certificados de Capital (CKDs) que se coloquen por medio de un intermediario colocador.</w:t>
      </w:r>
    </w:p>
    <w:p w:rsidR="00542C7B" w:rsidRPr="008E6ABD" w:rsidRDefault="00542C7B" w:rsidP="00262502">
      <w:pPr>
        <w:pStyle w:val="VIETA1"/>
        <w:numPr>
          <w:ilvl w:val="0"/>
          <w:numId w:val="17"/>
        </w:numPr>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 xml:space="preserve">Cuando el precio o tasa de compra o de venta haya sido estipulado </w:t>
      </w:r>
      <w:r w:rsidR="00655CF6" w:rsidRPr="008E6ABD">
        <w:rPr>
          <w:rFonts w:ascii="Tahoma" w:hAnsi="Tahoma" w:cs="Tahoma"/>
          <w:color w:val="000000" w:themeColor="text1"/>
          <w:sz w:val="22"/>
          <w:szCs w:val="22"/>
        </w:rPr>
        <w:t xml:space="preserve">y/o aprobado </w:t>
      </w:r>
      <w:r w:rsidRPr="008E6ABD">
        <w:rPr>
          <w:rFonts w:ascii="Tahoma" w:hAnsi="Tahoma" w:cs="Tahoma"/>
          <w:color w:val="000000" w:themeColor="text1"/>
          <w:sz w:val="22"/>
          <w:szCs w:val="22"/>
        </w:rPr>
        <w:t>por el Comité de Inversión</w:t>
      </w:r>
      <w:r w:rsidR="00655CF6" w:rsidRPr="008E6ABD">
        <w:rPr>
          <w:rFonts w:ascii="Tahoma" w:hAnsi="Tahoma" w:cs="Tahoma"/>
          <w:color w:val="000000" w:themeColor="text1"/>
          <w:sz w:val="22"/>
          <w:szCs w:val="22"/>
        </w:rPr>
        <w:t xml:space="preserve"> o el Grupo de Trabajo de Inversiones</w:t>
      </w:r>
      <w:r w:rsidRPr="008E6ABD">
        <w:rPr>
          <w:rFonts w:ascii="Tahoma" w:hAnsi="Tahoma" w:cs="Tahoma"/>
          <w:color w:val="000000" w:themeColor="text1"/>
          <w:sz w:val="22"/>
          <w:szCs w:val="22"/>
        </w:rPr>
        <w:t xml:space="preserve">, el operador dará la </w:t>
      </w:r>
      <w:r w:rsidRPr="008E6ABD">
        <w:rPr>
          <w:rFonts w:ascii="Tahoma" w:hAnsi="Tahoma" w:cs="Tahoma"/>
          <w:color w:val="000000" w:themeColor="text1"/>
          <w:sz w:val="22"/>
          <w:szCs w:val="22"/>
        </w:rPr>
        <w:lastRenderedPageBreak/>
        <w:t xml:space="preserve">instrucción al intermediario o contraparte de ejecutar a ese precio o tasa, o a un mejor precio o tasa, sin que haya cotización previa. </w:t>
      </w:r>
    </w:p>
    <w:p w:rsidR="00542C7B" w:rsidRPr="008E6ABD" w:rsidRDefault="00542C7B" w:rsidP="00262502">
      <w:pPr>
        <w:pStyle w:val="VIETA1"/>
        <w:numPr>
          <w:ilvl w:val="0"/>
          <w:numId w:val="17"/>
        </w:numPr>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Cuando por imperfecciones del mercado se dé la oportunidad de la compra–venta simultánea (cruce) obteniendo siempre una ganancia, sin existir dos cotizaciones adicionales.</w:t>
      </w:r>
    </w:p>
    <w:p w:rsidR="00542C7B" w:rsidRPr="008E6ABD" w:rsidRDefault="00542C7B" w:rsidP="00262502">
      <w:pPr>
        <w:pStyle w:val="VIETA1"/>
        <w:numPr>
          <w:ilvl w:val="0"/>
          <w:numId w:val="17"/>
        </w:numPr>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En el caso d</w:t>
      </w:r>
      <w:r w:rsidR="00630E52" w:rsidRPr="008E6ABD">
        <w:rPr>
          <w:rFonts w:ascii="Tahoma" w:hAnsi="Tahoma" w:cs="Tahoma"/>
          <w:color w:val="000000" w:themeColor="text1"/>
          <w:sz w:val="22"/>
          <w:szCs w:val="22"/>
        </w:rPr>
        <w:t>e los instrumentos de Renta Variable</w:t>
      </w:r>
      <w:r w:rsidRPr="008E6ABD">
        <w:rPr>
          <w:rFonts w:ascii="Tahoma" w:hAnsi="Tahoma" w:cs="Tahoma"/>
          <w:color w:val="000000" w:themeColor="text1"/>
          <w:sz w:val="22"/>
          <w:szCs w:val="22"/>
        </w:rPr>
        <w:t xml:space="preserve"> </w:t>
      </w:r>
      <w:r w:rsidR="00630E52" w:rsidRPr="008E6ABD">
        <w:rPr>
          <w:rFonts w:ascii="Tahoma" w:hAnsi="Tahoma" w:cs="Tahoma"/>
          <w:color w:val="000000" w:themeColor="text1"/>
          <w:sz w:val="22"/>
          <w:szCs w:val="22"/>
        </w:rPr>
        <w:t xml:space="preserve">o FIBRAs </w:t>
      </w:r>
      <w:r w:rsidRPr="008E6ABD">
        <w:rPr>
          <w:rFonts w:ascii="Tahoma" w:hAnsi="Tahoma" w:cs="Tahoma"/>
          <w:color w:val="000000" w:themeColor="text1"/>
          <w:sz w:val="22"/>
          <w:szCs w:val="22"/>
        </w:rPr>
        <w:t xml:space="preserve">no se realizará mejor ejecución, ya que las cotizaciones se reflejan en un mercado organizado, donde cada participante tiene qué girar o colocar </w:t>
      </w:r>
      <w:r w:rsidR="00630E52" w:rsidRPr="008E6ABD">
        <w:rPr>
          <w:rFonts w:ascii="Tahoma" w:hAnsi="Tahoma" w:cs="Tahoma"/>
          <w:color w:val="000000" w:themeColor="text1"/>
          <w:sz w:val="22"/>
          <w:szCs w:val="22"/>
        </w:rPr>
        <w:t>posturas a precios específicos.</w:t>
      </w:r>
    </w:p>
    <w:p w:rsidR="00655CF6" w:rsidRPr="008E6ABD" w:rsidRDefault="00542C7B" w:rsidP="00262502">
      <w:pPr>
        <w:pStyle w:val="VIETA1"/>
        <w:numPr>
          <w:ilvl w:val="0"/>
          <w:numId w:val="17"/>
        </w:numPr>
        <w:spacing w:after="160"/>
        <w:ind w:left="1083" w:right="0" w:hanging="272"/>
        <w:rPr>
          <w:rFonts w:ascii="Tahoma" w:hAnsi="Tahoma" w:cs="Tahoma"/>
          <w:color w:val="000000" w:themeColor="text1"/>
          <w:sz w:val="22"/>
          <w:szCs w:val="22"/>
        </w:rPr>
      </w:pPr>
      <w:r w:rsidRPr="008E6ABD">
        <w:rPr>
          <w:rFonts w:ascii="Tahoma" w:hAnsi="Tahoma" w:cs="Tahoma"/>
          <w:color w:val="000000" w:themeColor="text1"/>
          <w:sz w:val="22"/>
          <w:szCs w:val="22"/>
        </w:rPr>
        <w:t xml:space="preserve">En el caso de las operaciones de Derivados </w:t>
      </w:r>
      <w:r w:rsidR="00630E52" w:rsidRPr="008E6ABD">
        <w:rPr>
          <w:rFonts w:ascii="Tahoma" w:hAnsi="Tahoma" w:cs="Tahoma"/>
          <w:color w:val="000000" w:themeColor="text1"/>
          <w:sz w:val="22"/>
          <w:szCs w:val="22"/>
        </w:rPr>
        <w:t xml:space="preserve">Listados </w:t>
      </w:r>
      <w:r w:rsidRPr="008E6ABD">
        <w:rPr>
          <w:rFonts w:ascii="Tahoma" w:hAnsi="Tahoma" w:cs="Tahoma"/>
          <w:color w:val="000000" w:themeColor="text1"/>
          <w:sz w:val="22"/>
          <w:szCs w:val="22"/>
        </w:rPr>
        <w:t>no aplicará el principio de mejor ejecuc</w:t>
      </w:r>
      <w:r w:rsidR="007E7542" w:rsidRPr="008E6ABD">
        <w:rPr>
          <w:rFonts w:ascii="Tahoma" w:hAnsi="Tahoma" w:cs="Tahoma"/>
          <w:color w:val="000000" w:themeColor="text1"/>
          <w:sz w:val="22"/>
          <w:szCs w:val="22"/>
        </w:rPr>
        <w:t>ión (mejor tasa o mejor precio).</w:t>
      </w:r>
      <w:r w:rsidRPr="008E6ABD">
        <w:rPr>
          <w:rFonts w:ascii="Tahoma" w:hAnsi="Tahoma" w:cs="Tahoma"/>
          <w:color w:val="000000" w:themeColor="text1"/>
          <w:sz w:val="22"/>
          <w:szCs w:val="22"/>
        </w:rPr>
        <w:t xml:space="preserve"> </w:t>
      </w:r>
      <w:r w:rsidR="007E7542" w:rsidRPr="008E6ABD">
        <w:rPr>
          <w:rFonts w:ascii="Tahoma" w:hAnsi="Tahoma" w:cs="Tahoma"/>
          <w:color w:val="000000" w:themeColor="text1"/>
          <w:sz w:val="22"/>
          <w:szCs w:val="22"/>
        </w:rPr>
        <w:t>E</w:t>
      </w:r>
      <w:r w:rsidRPr="008E6ABD">
        <w:rPr>
          <w:rFonts w:ascii="Tahoma" w:hAnsi="Tahoma" w:cs="Tahoma"/>
          <w:color w:val="000000" w:themeColor="text1"/>
          <w:sz w:val="22"/>
          <w:szCs w:val="22"/>
        </w:rPr>
        <w:t>n los mercados estandarizados, el precio de negociación no lo fija un intermediario</w:t>
      </w:r>
      <w:r w:rsidR="00034D8F"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sino que se determina </w:t>
      </w:r>
      <w:r w:rsidR="007E7542" w:rsidRPr="008E6ABD">
        <w:rPr>
          <w:rFonts w:ascii="Tahoma" w:hAnsi="Tahoma" w:cs="Tahoma"/>
          <w:color w:val="000000" w:themeColor="text1"/>
          <w:sz w:val="22"/>
          <w:szCs w:val="22"/>
        </w:rPr>
        <w:t xml:space="preserve">el mercado </w:t>
      </w:r>
      <w:r w:rsidRPr="008E6ABD">
        <w:rPr>
          <w:rFonts w:ascii="Tahoma" w:hAnsi="Tahoma" w:cs="Tahoma"/>
          <w:color w:val="000000" w:themeColor="text1"/>
          <w:sz w:val="22"/>
          <w:szCs w:val="22"/>
        </w:rPr>
        <w:t>de manera abierta</w:t>
      </w:r>
      <w:r w:rsidR="007E7542"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En esos casos, como mejor ejecución se entenderá el precio al que el operador limite la orden o el precio de mercado al que gire la instrucción</w:t>
      </w:r>
      <w:r w:rsidR="007E7542" w:rsidRPr="008E6ABD">
        <w:rPr>
          <w:rFonts w:ascii="Tahoma" w:hAnsi="Tahoma" w:cs="Tahoma"/>
          <w:color w:val="000000" w:themeColor="text1"/>
          <w:sz w:val="22"/>
          <w:szCs w:val="22"/>
        </w:rPr>
        <w:t>. E</w:t>
      </w:r>
      <w:r w:rsidRPr="008E6ABD">
        <w:rPr>
          <w:rFonts w:ascii="Tahoma" w:hAnsi="Tahoma" w:cs="Tahoma"/>
          <w:color w:val="000000" w:themeColor="text1"/>
          <w:sz w:val="22"/>
          <w:szCs w:val="22"/>
        </w:rPr>
        <w:t>l operador podrá emplear la variedad de órdenes y posturas permitidas por el mercado organizado para acceder a las mejores condiciones de compra y venta de Futuros</w:t>
      </w:r>
      <w:r w:rsidR="007E7542"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w:t>
      </w:r>
      <w:r w:rsidR="007E7542" w:rsidRPr="008E6ABD">
        <w:rPr>
          <w:rFonts w:ascii="Tahoma" w:hAnsi="Tahoma" w:cs="Tahoma"/>
          <w:color w:val="000000" w:themeColor="text1"/>
          <w:sz w:val="22"/>
          <w:szCs w:val="22"/>
        </w:rPr>
        <w:t xml:space="preserve">Opciones o </w:t>
      </w:r>
      <w:r w:rsidRPr="008E6ABD">
        <w:rPr>
          <w:rFonts w:ascii="Tahoma" w:hAnsi="Tahoma" w:cs="Tahoma"/>
          <w:color w:val="000000" w:themeColor="text1"/>
          <w:sz w:val="22"/>
          <w:szCs w:val="22"/>
        </w:rPr>
        <w:t>Swaps listados. El operador podrá limitar el precio al que desea comprar o vender</w:t>
      </w:r>
      <w:r w:rsidR="007E7542" w:rsidRPr="008E6ABD">
        <w:rPr>
          <w:rFonts w:ascii="Tahoma" w:hAnsi="Tahoma" w:cs="Tahoma"/>
          <w:color w:val="000000" w:themeColor="text1"/>
          <w:sz w:val="22"/>
          <w:szCs w:val="22"/>
        </w:rPr>
        <w:t>,</w:t>
      </w:r>
      <w:r w:rsidRPr="008E6ABD">
        <w:rPr>
          <w:rFonts w:ascii="Tahoma" w:hAnsi="Tahoma" w:cs="Tahoma"/>
          <w:color w:val="000000" w:themeColor="text1"/>
          <w:sz w:val="22"/>
          <w:szCs w:val="22"/>
        </w:rPr>
        <w:t xml:space="preserve"> estipular la vigencia de la orden por un solo día o por todos los días que restan a una semana</w:t>
      </w:r>
      <w:r w:rsidR="007E7542" w:rsidRPr="008E6ABD">
        <w:rPr>
          <w:rFonts w:ascii="Tahoma" w:hAnsi="Tahoma" w:cs="Tahoma"/>
          <w:color w:val="000000" w:themeColor="text1"/>
          <w:sz w:val="22"/>
          <w:szCs w:val="22"/>
        </w:rPr>
        <w:t xml:space="preserve"> e</w:t>
      </w:r>
      <w:r w:rsidRPr="008E6ABD">
        <w:rPr>
          <w:rFonts w:ascii="Tahoma" w:hAnsi="Tahoma" w:cs="Tahoma"/>
          <w:color w:val="000000" w:themeColor="text1"/>
          <w:sz w:val="22"/>
          <w:szCs w:val="22"/>
        </w:rPr>
        <w:t xml:space="preserve"> </w:t>
      </w:r>
      <w:r w:rsidR="007E7542" w:rsidRPr="008E6ABD">
        <w:rPr>
          <w:rFonts w:ascii="Tahoma" w:hAnsi="Tahoma" w:cs="Tahoma"/>
          <w:color w:val="000000" w:themeColor="text1"/>
          <w:sz w:val="22"/>
          <w:szCs w:val="22"/>
        </w:rPr>
        <w:t>i</w:t>
      </w:r>
      <w:r w:rsidRPr="008E6ABD">
        <w:rPr>
          <w:rFonts w:ascii="Tahoma" w:hAnsi="Tahoma" w:cs="Tahoma"/>
          <w:color w:val="000000" w:themeColor="text1"/>
          <w:sz w:val="22"/>
          <w:szCs w:val="22"/>
        </w:rPr>
        <w:t xml:space="preserve">ncluso podrá solicitar la modificación o cancelación de la orden si no ha sido satisfecha. </w:t>
      </w:r>
    </w:p>
    <w:p w:rsidR="00C57FAB" w:rsidRPr="008E6ABD" w:rsidRDefault="00586C45"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 xml:space="preserve">Parámetros </w:t>
      </w:r>
      <w:r w:rsidR="00C57FAB" w:rsidRPr="008E6ABD">
        <w:rPr>
          <w:rFonts w:ascii="Tahoma" w:hAnsi="Tahoma" w:cs="Tahoma"/>
          <w:b/>
          <w:color w:val="000000" w:themeColor="text1"/>
          <w:sz w:val="22"/>
          <w:szCs w:val="22"/>
        </w:rPr>
        <w:t>Internos por Contraparte y Calificación</w:t>
      </w:r>
    </w:p>
    <w:p w:rsidR="00C57FAB" w:rsidRPr="008E6ABD" w:rsidRDefault="001E08AE" w:rsidP="001E08AE">
      <w:pPr>
        <w:pStyle w:val="VIETA1"/>
        <w:numPr>
          <w:ilvl w:val="0"/>
          <w:numId w:val="0"/>
        </w:numPr>
        <w:spacing w:before="120" w:after="120"/>
        <w:ind w:left="360" w:right="0"/>
        <w:rPr>
          <w:rFonts w:ascii="Tahoma" w:hAnsi="Tahoma" w:cs="Tahoma"/>
          <w:color w:val="000000" w:themeColor="text1"/>
          <w:sz w:val="22"/>
          <w:szCs w:val="22"/>
        </w:rPr>
      </w:pPr>
      <w:r w:rsidRPr="008E6ABD">
        <w:rPr>
          <w:rFonts w:ascii="Tahoma" w:hAnsi="Tahoma" w:cs="Tahoma"/>
          <w:color w:val="000000" w:themeColor="text1"/>
          <w:sz w:val="22"/>
          <w:szCs w:val="22"/>
        </w:rPr>
        <w:t xml:space="preserve">Los </w:t>
      </w:r>
      <w:r w:rsidR="00586C45" w:rsidRPr="008E6ABD">
        <w:rPr>
          <w:rFonts w:ascii="Tahoma" w:hAnsi="Tahoma" w:cs="Tahoma"/>
          <w:color w:val="000000" w:themeColor="text1"/>
          <w:sz w:val="22"/>
          <w:szCs w:val="22"/>
        </w:rPr>
        <w:t>parámetros</w:t>
      </w:r>
      <w:r w:rsidRPr="008E6ABD">
        <w:rPr>
          <w:rFonts w:ascii="Tahoma" w:hAnsi="Tahoma" w:cs="Tahoma"/>
          <w:color w:val="000000" w:themeColor="text1"/>
          <w:sz w:val="22"/>
          <w:szCs w:val="22"/>
        </w:rPr>
        <w:t xml:space="preserve"> por contraparte van dependiendo a la calificación crediticia. Estos límites ayudan a diversificar la operación por contrapartes.</w:t>
      </w:r>
      <w:r w:rsidR="00DC4494" w:rsidRPr="008E6ABD">
        <w:rPr>
          <w:rFonts w:ascii="Tahoma" w:hAnsi="Tahoma" w:cs="Tahoma"/>
          <w:color w:val="000000" w:themeColor="text1"/>
          <w:sz w:val="22"/>
          <w:szCs w:val="22"/>
        </w:rPr>
        <w:t xml:space="preserve"> Los </w:t>
      </w:r>
      <w:r w:rsidR="00586C45" w:rsidRPr="008E6ABD">
        <w:rPr>
          <w:rFonts w:ascii="Tahoma" w:hAnsi="Tahoma" w:cs="Tahoma"/>
          <w:color w:val="000000" w:themeColor="text1"/>
          <w:sz w:val="22"/>
          <w:szCs w:val="22"/>
        </w:rPr>
        <w:t>parámetros</w:t>
      </w:r>
      <w:r w:rsidR="00DC4494" w:rsidRPr="008E6ABD">
        <w:rPr>
          <w:rFonts w:ascii="Tahoma" w:hAnsi="Tahoma" w:cs="Tahoma"/>
          <w:color w:val="000000" w:themeColor="text1"/>
          <w:sz w:val="22"/>
          <w:szCs w:val="22"/>
        </w:rPr>
        <w:t xml:space="preserve"> que se muestran en la siguiente tabla son como porcentaje del total de Activos Administrados por el fondo.</w:t>
      </w:r>
    </w:p>
    <w:tbl>
      <w:tblPr>
        <w:tblW w:w="10621" w:type="dxa"/>
        <w:tblCellMar>
          <w:left w:w="0" w:type="dxa"/>
          <w:right w:w="0" w:type="dxa"/>
        </w:tblCellMar>
        <w:tblLook w:val="04A0" w:firstRow="1" w:lastRow="0" w:firstColumn="1" w:lastColumn="0" w:noHBand="0" w:noVBand="1"/>
      </w:tblPr>
      <w:tblGrid>
        <w:gridCol w:w="1164"/>
        <w:gridCol w:w="1079"/>
        <w:gridCol w:w="1602"/>
        <w:gridCol w:w="899"/>
        <w:gridCol w:w="1063"/>
        <w:gridCol w:w="916"/>
        <w:gridCol w:w="975"/>
        <w:gridCol w:w="823"/>
        <w:gridCol w:w="1060"/>
        <w:gridCol w:w="1040"/>
      </w:tblGrid>
      <w:tr w:rsidR="00497854" w:rsidRPr="008E6ABD" w:rsidTr="00DC4494">
        <w:trPr>
          <w:trHeight w:val="300"/>
        </w:trPr>
        <w:tc>
          <w:tcPr>
            <w:tcW w:w="9581" w:type="dxa"/>
            <w:gridSpan w:val="9"/>
            <w:tcBorders>
              <w:top w:val="nil"/>
              <w:left w:val="nil"/>
              <w:bottom w:val="single" w:sz="12" w:space="0" w:color="auto"/>
              <w:right w:val="nil"/>
            </w:tcBorders>
            <w:shd w:val="clear" w:color="000000" w:fill="FFFFFF"/>
            <w:noWrap/>
            <w:vAlign w:val="bottom"/>
            <w:hideMark/>
          </w:tcPr>
          <w:p w:rsidR="00497854" w:rsidRPr="008E6ABD" w:rsidRDefault="00586C45" w:rsidP="00262502">
            <w:pPr>
              <w:spacing w:after="160"/>
              <w:jc w:val="center"/>
              <w:rPr>
                <w:rFonts w:ascii="Tahoma" w:hAnsi="Tahoma" w:cs="Tahoma"/>
                <w:b/>
                <w:bCs/>
                <w:color w:val="000000"/>
                <w:lang w:val="es-MX"/>
              </w:rPr>
            </w:pPr>
            <w:r w:rsidRPr="008E6ABD">
              <w:rPr>
                <w:rFonts w:ascii="Tahoma" w:hAnsi="Tahoma" w:cs="Tahoma"/>
                <w:b/>
                <w:bCs/>
                <w:color w:val="000000"/>
                <w:lang w:val="es-MX"/>
              </w:rPr>
              <w:t>PARÁMETRO</w:t>
            </w:r>
            <w:r w:rsidR="00497854" w:rsidRPr="008E6ABD">
              <w:rPr>
                <w:rFonts w:ascii="Tahoma" w:hAnsi="Tahoma" w:cs="Tahoma"/>
                <w:b/>
                <w:bCs/>
                <w:color w:val="000000"/>
                <w:lang w:val="es-MX"/>
              </w:rPr>
              <w:t xml:space="preserve"> DE OPERACIÓN DIARIA DE CONTRAPARTE COMO % DE ACTIVO NETO (ACTIVO TOTAL)</w:t>
            </w:r>
          </w:p>
        </w:tc>
        <w:tc>
          <w:tcPr>
            <w:tcW w:w="1040" w:type="dxa"/>
            <w:tcBorders>
              <w:top w:val="nil"/>
              <w:left w:val="nil"/>
              <w:bottom w:val="nil"/>
              <w:right w:val="nil"/>
            </w:tcBorders>
            <w:shd w:val="clear" w:color="000000" w:fill="FFFFFF"/>
            <w:noWrap/>
            <w:vAlign w:val="bottom"/>
            <w:hideMark/>
          </w:tcPr>
          <w:p w:rsidR="00497854" w:rsidRPr="008E6ABD" w:rsidRDefault="00497854">
            <w:pPr>
              <w:rPr>
                <w:rFonts w:ascii="Tahoma" w:hAnsi="Tahoma" w:cs="Tahoma"/>
                <w:color w:val="000000"/>
                <w:lang w:val="es-MX"/>
              </w:rPr>
            </w:pPr>
            <w:r w:rsidRPr="008E6ABD">
              <w:rPr>
                <w:rFonts w:ascii="Tahoma" w:hAnsi="Tahoma" w:cs="Tahoma"/>
                <w:color w:val="000000"/>
                <w:lang w:val="es-MX"/>
              </w:rPr>
              <w:t> </w:t>
            </w:r>
          </w:p>
        </w:tc>
      </w:tr>
      <w:tr w:rsidR="001E08AE" w:rsidRPr="008E6ABD" w:rsidTr="00262502">
        <w:trPr>
          <w:gridAfter w:val="1"/>
          <w:wAfter w:w="1040" w:type="dxa"/>
          <w:trHeight w:val="705"/>
        </w:trPr>
        <w:tc>
          <w:tcPr>
            <w:tcW w:w="0" w:type="auto"/>
            <w:tcBorders>
              <w:top w:val="nil"/>
              <w:left w:val="single" w:sz="12" w:space="0" w:color="auto"/>
              <w:bottom w:val="single" w:sz="12" w:space="0" w:color="auto"/>
              <w:right w:val="nil"/>
            </w:tcBorders>
            <w:shd w:val="clear" w:color="000000" w:fill="FFFFFF"/>
            <w:noWrap/>
            <w:vAlign w:val="center"/>
            <w:hideMark/>
          </w:tcPr>
          <w:p w:rsidR="001E08AE" w:rsidRPr="008E6ABD" w:rsidRDefault="001E08AE">
            <w:pPr>
              <w:jc w:val="center"/>
              <w:rPr>
                <w:rFonts w:ascii="Tahoma" w:hAnsi="Tahoma" w:cs="Tahoma"/>
              </w:rPr>
            </w:pPr>
            <w:r w:rsidRPr="008E6ABD">
              <w:rPr>
                <w:rFonts w:ascii="Tahoma" w:hAnsi="Tahoma" w:cs="Tahoma"/>
              </w:rPr>
              <w:t>Contraparte</w:t>
            </w:r>
          </w:p>
        </w:tc>
        <w:tc>
          <w:tcPr>
            <w:tcW w:w="1079"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 de Operación</w:t>
            </w:r>
          </w:p>
        </w:tc>
        <w:tc>
          <w:tcPr>
            <w:tcW w:w="1602"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Deuda Gubernamental Nacional</w:t>
            </w:r>
          </w:p>
        </w:tc>
        <w:tc>
          <w:tcPr>
            <w:tcW w:w="899"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Deuda Privada Nacional</w:t>
            </w:r>
          </w:p>
        </w:tc>
        <w:tc>
          <w:tcPr>
            <w:tcW w:w="1063"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Deuda Extranjera</w:t>
            </w:r>
          </w:p>
        </w:tc>
        <w:tc>
          <w:tcPr>
            <w:tcW w:w="916" w:type="dxa"/>
            <w:tcBorders>
              <w:top w:val="nil"/>
              <w:left w:val="nil"/>
              <w:bottom w:val="single" w:sz="12" w:space="0" w:color="auto"/>
              <w:right w:val="nil"/>
            </w:tcBorders>
            <w:shd w:val="clear" w:color="000000" w:fill="FFFFFF"/>
            <w:vAlign w:val="center"/>
            <w:hideMark/>
          </w:tcPr>
          <w:p w:rsidR="001E08AE" w:rsidRPr="008E6ABD" w:rsidRDefault="001E08AE" w:rsidP="001E08AE">
            <w:pPr>
              <w:jc w:val="center"/>
              <w:rPr>
                <w:rFonts w:ascii="Tahoma" w:hAnsi="Tahoma" w:cs="Tahoma"/>
                <w:lang w:val="es-MX"/>
              </w:rPr>
            </w:pPr>
            <w:r w:rsidRPr="008E6ABD">
              <w:rPr>
                <w:rFonts w:ascii="Tahoma" w:hAnsi="Tahoma" w:cs="Tahoma"/>
                <w:lang w:val="es-MX"/>
              </w:rPr>
              <w:t>Renta Variable, ETFs y FIBRAs</w:t>
            </w:r>
          </w:p>
        </w:tc>
        <w:tc>
          <w:tcPr>
            <w:tcW w:w="975"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Préstamo de Valores</w:t>
            </w:r>
          </w:p>
        </w:tc>
        <w:tc>
          <w:tcPr>
            <w:tcW w:w="823" w:type="dxa"/>
            <w:tcBorders>
              <w:top w:val="nil"/>
              <w:left w:val="nil"/>
              <w:bottom w:val="single" w:sz="12" w:space="0" w:color="auto"/>
              <w:right w:val="nil"/>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Reporto</w:t>
            </w:r>
          </w:p>
        </w:tc>
        <w:tc>
          <w:tcPr>
            <w:tcW w:w="1060" w:type="dxa"/>
            <w:tcBorders>
              <w:top w:val="single" w:sz="12" w:space="0" w:color="auto"/>
              <w:left w:val="nil"/>
              <w:bottom w:val="single" w:sz="12" w:space="0" w:color="auto"/>
              <w:right w:val="single" w:sz="12" w:space="0" w:color="auto"/>
            </w:tcBorders>
            <w:shd w:val="clear" w:color="000000" w:fill="FFFFFF"/>
            <w:vAlign w:val="center"/>
            <w:hideMark/>
          </w:tcPr>
          <w:p w:rsidR="001E08AE" w:rsidRPr="008E6ABD" w:rsidRDefault="001E08AE">
            <w:pPr>
              <w:jc w:val="center"/>
              <w:rPr>
                <w:rFonts w:ascii="Tahoma" w:hAnsi="Tahoma" w:cs="Tahoma"/>
              </w:rPr>
            </w:pPr>
            <w:r w:rsidRPr="008E6ABD">
              <w:rPr>
                <w:rFonts w:ascii="Tahoma" w:hAnsi="Tahoma" w:cs="Tahoma"/>
              </w:rPr>
              <w:t>Límite Máximo de Operación</w:t>
            </w:r>
          </w:p>
        </w:tc>
      </w:tr>
      <w:tr w:rsidR="001E08AE" w:rsidRPr="008E6ABD" w:rsidTr="00DC4494">
        <w:trPr>
          <w:gridAfter w:val="1"/>
          <w:wAfter w:w="1040" w:type="dxa"/>
          <w:trHeight w:val="300"/>
        </w:trPr>
        <w:tc>
          <w:tcPr>
            <w:tcW w:w="0" w:type="auto"/>
            <w:tcBorders>
              <w:top w:val="nil"/>
              <w:left w:val="single" w:sz="12" w:space="0" w:color="auto"/>
              <w:bottom w:val="nil"/>
              <w:right w:val="nil"/>
            </w:tcBorders>
            <w:shd w:val="clear" w:color="000000" w:fill="FFFFFF"/>
            <w:noWrap/>
            <w:vAlign w:val="bottom"/>
            <w:hideMark/>
          </w:tcPr>
          <w:p w:rsidR="001E08AE" w:rsidRPr="008E6ABD" w:rsidRDefault="001E08AE">
            <w:pPr>
              <w:jc w:val="both"/>
              <w:rPr>
                <w:rFonts w:ascii="Tahoma" w:hAnsi="Tahoma" w:cs="Tahoma"/>
              </w:rPr>
            </w:pPr>
            <w:r w:rsidRPr="008E6ABD">
              <w:rPr>
                <w:rFonts w:ascii="Tahoma" w:hAnsi="Tahoma" w:cs="Tahoma"/>
              </w:rPr>
              <w:t>Categoría 1</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5.0%</w:t>
            </w:r>
          </w:p>
        </w:tc>
        <w:tc>
          <w:tcPr>
            <w:tcW w:w="0" w:type="auto"/>
            <w:tcBorders>
              <w:top w:val="nil"/>
              <w:left w:val="nil"/>
              <w:bottom w:val="nil"/>
              <w:right w:val="nil"/>
            </w:tcBorders>
            <w:shd w:val="clear" w:color="000000" w:fill="FFFFFF"/>
            <w:noWrap/>
            <w:vAlign w:val="bottom"/>
            <w:hideMark/>
          </w:tcPr>
          <w:p w:rsidR="001E08AE" w:rsidRPr="008E6ABD" w:rsidRDefault="001E08AE" w:rsidP="00315BC4">
            <w:pPr>
              <w:jc w:val="center"/>
              <w:rPr>
                <w:rFonts w:ascii="Tahoma" w:hAnsi="Tahoma" w:cs="Tahoma"/>
              </w:rPr>
            </w:pPr>
            <w:r w:rsidRPr="008E6ABD">
              <w:rPr>
                <w:rFonts w:ascii="Tahoma" w:hAnsi="Tahoma" w:cs="Tahoma"/>
              </w:rPr>
              <w:t>2.5%</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3.0%</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5.0%</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3.0%</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3.0%</w:t>
            </w:r>
          </w:p>
        </w:tc>
        <w:tc>
          <w:tcPr>
            <w:tcW w:w="0" w:type="auto"/>
            <w:tcBorders>
              <w:top w:val="nil"/>
              <w:left w:val="nil"/>
              <w:bottom w:val="nil"/>
              <w:right w:val="single" w:sz="12" w:space="0" w:color="auto"/>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10.0%</w:t>
            </w:r>
          </w:p>
        </w:tc>
      </w:tr>
      <w:tr w:rsidR="001E08AE" w:rsidRPr="008E6ABD" w:rsidTr="00DC4494">
        <w:trPr>
          <w:gridAfter w:val="1"/>
          <w:wAfter w:w="1040" w:type="dxa"/>
          <w:trHeight w:val="300"/>
        </w:trPr>
        <w:tc>
          <w:tcPr>
            <w:tcW w:w="0" w:type="auto"/>
            <w:tcBorders>
              <w:top w:val="nil"/>
              <w:left w:val="single" w:sz="12" w:space="0" w:color="auto"/>
              <w:bottom w:val="nil"/>
              <w:right w:val="nil"/>
            </w:tcBorders>
            <w:shd w:val="clear" w:color="000000" w:fill="FFFFFF"/>
            <w:noWrap/>
            <w:vAlign w:val="bottom"/>
            <w:hideMark/>
          </w:tcPr>
          <w:p w:rsidR="001E08AE" w:rsidRPr="008E6ABD" w:rsidRDefault="001E08AE">
            <w:pPr>
              <w:jc w:val="both"/>
              <w:rPr>
                <w:rFonts w:ascii="Tahoma" w:hAnsi="Tahoma" w:cs="Tahoma"/>
              </w:rPr>
            </w:pPr>
            <w:r w:rsidRPr="008E6ABD">
              <w:rPr>
                <w:rFonts w:ascii="Tahoma" w:hAnsi="Tahoma" w:cs="Tahoma"/>
              </w:rPr>
              <w:t>Categoría 2</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2.5%</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1.5%</w:t>
            </w:r>
          </w:p>
        </w:tc>
        <w:tc>
          <w:tcPr>
            <w:tcW w:w="0" w:type="auto"/>
            <w:tcBorders>
              <w:top w:val="nil"/>
              <w:left w:val="nil"/>
              <w:bottom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1.5%</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2.5%</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1.5%</w:t>
            </w:r>
          </w:p>
        </w:tc>
        <w:tc>
          <w:tcPr>
            <w:tcW w:w="0" w:type="auto"/>
            <w:tcBorders>
              <w:top w:val="nil"/>
              <w:left w:val="nil"/>
              <w:bottom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1. 5%</w:t>
            </w:r>
          </w:p>
        </w:tc>
        <w:tc>
          <w:tcPr>
            <w:tcW w:w="0" w:type="auto"/>
            <w:tcBorders>
              <w:top w:val="nil"/>
              <w:left w:val="nil"/>
              <w:bottom w:val="nil"/>
              <w:right w:val="single" w:sz="12" w:space="0" w:color="auto"/>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5.0%</w:t>
            </w:r>
          </w:p>
        </w:tc>
      </w:tr>
      <w:tr w:rsidR="001E08AE" w:rsidRPr="008E6ABD" w:rsidTr="00DC4494">
        <w:trPr>
          <w:gridAfter w:val="1"/>
          <w:wAfter w:w="1040" w:type="dxa"/>
          <w:trHeight w:val="300"/>
        </w:trPr>
        <w:tc>
          <w:tcPr>
            <w:tcW w:w="0" w:type="auto"/>
            <w:tcBorders>
              <w:top w:val="nil"/>
              <w:left w:val="single" w:sz="12" w:space="0" w:color="auto"/>
              <w:right w:val="nil"/>
            </w:tcBorders>
            <w:shd w:val="clear" w:color="000000" w:fill="FFFFFF"/>
            <w:noWrap/>
            <w:vAlign w:val="bottom"/>
            <w:hideMark/>
          </w:tcPr>
          <w:p w:rsidR="001E08AE" w:rsidRPr="008E6ABD" w:rsidRDefault="001E08AE">
            <w:pPr>
              <w:jc w:val="both"/>
              <w:rPr>
                <w:rFonts w:ascii="Tahoma" w:hAnsi="Tahoma" w:cs="Tahoma"/>
              </w:rPr>
            </w:pPr>
            <w:r w:rsidRPr="008E6ABD">
              <w:rPr>
                <w:rFonts w:ascii="Tahoma" w:hAnsi="Tahoma" w:cs="Tahoma"/>
              </w:rPr>
              <w:t>Categoría 3</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1.0%</w:t>
            </w:r>
          </w:p>
        </w:tc>
        <w:tc>
          <w:tcPr>
            <w:tcW w:w="0" w:type="auto"/>
            <w:tcBorders>
              <w:top w:val="nil"/>
              <w:left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1.0%</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right w:val="single" w:sz="12" w:space="0" w:color="auto"/>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2.0%</w:t>
            </w:r>
          </w:p>
        </w:tc>
      </w:tr>
      <w:tr w:rsidR="001E08AE" w:rsidRPr="008E6ABD" w:rsidTr="00DC4494">
        <w:trPr>
          <w:gridAfter w:val="1"/>
          <w:wAfter w:w="1040" w:type="dxa"/>
          <w:trHeight w:val="300"/>
        </w:trPr>
        <w:tc>
          <w:tcPr>
            <w:tcW w:w="0" w:type="auto"/>
            <w:tcBorders>
              <w:top w:val="nil"/>
              <w:left w:val="single" w:sz="12" w:space="0" w:color="auto"/>
              <w:bottom w:val="single" w:sz="12" w:space="0" w:color="auto"/>
              <w:right w:val="nil"/>
            </w:tcBorders>
            <w:shd w:val="clear" w:color="000000" w:fill="FFFFFF"/>
            <w:noWrap/>
            <w:vAlign w:val="bottom"/>
            <w:hideMark/>
          </w:tcPr>
          <w:p w:rsidR="001E08AE" w:rsidRPr="008E6ABD" w:rsidRDefault="001E08AE">
            <w:pPr>
              <w:jc w:val="both"/>
              <w:rPr>
                <w:rFonts w:ascii="Tahoma" w:hAnsi="Tahoma" w:cs="Tahoma"/>
              </w:rPr>
            </w:pPr>
            <w:r w:rsidRPr="008E6ABD">
              <w:rPr>
                <w:rFonts w:ascii="Tahoma" w:hAnsi="Tahoma" w:cs="Tahoma"/>
              </w:rPr>
              <w:t>Categoría 4</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hasta</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0.2%</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0.2%</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0.5%</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bottom w:val="single" w:sz="12" w:space="0" w:color="auto"/>
              <w:right w:val="nil"/>
            </w:tcBorders>
            <w:shd w:val="clear" w:color="000000" w:fill="FFFFFF"/>
            <w:noWrap/>
            <w:vAlign w:val="bottom"/>
            <w:hideMark/>
          </w:tcPr>
          <w:p w:rsidR="001E08AE" w:rsidRPr="008E6ABD" w:rsidRDefault="001E08AE">
            <w:pPr>
              <w:jc w:val="center"/>
              <w:rPr>
                <w:rFonts w:ascii="Tahoma" w:hAnsi="Tahoma" w:cs="Tahoma"/>
              </w:rPr>
            </w:pPr>
            <w:r w:rsidRPr="008E6ABD">
              <w:rPr>
                <w:rFonts w:ascii="Tahoma" w:hAnsi="Tahoma" w:cs="Tahoma"/>
              </w:rPr>
              <w:t>0.0%</w:t>
            </w:r>
          </w:p>
        </w:tc>
        <w:tc>
          <w:tcPr>
            <w:tcW w:w="0" w:type="auto"/>
            <w:tcBorders>
              <w:top w:val="nil"/>
              <w:left w:val="nil"/>
              <w:bottom w:val="single" w:sz="12" w:space="0" w:color="auto"/>
              <w:right w:val="single" w:sz="12" w:space="0" w:color="auto"/>
            </w:tcBorders>
            <w:shd w:val="clear" w:color="000000" w:fill="FFFFFF"/>
            <w:noWrap/>
            <w:vAlign w:val="bottom"/>
            <w:hideMark/>
          </w:tcPr>
          <w:p w:rsidR="001E08AE" w:rsidRPr="008E6ABD" w:rsidRDefault="001E08AE" w:rsidP="001E08AE">
            <w:pPr>
              <w:jc w:val="center"/>
              <w:rPr>
                <w:rFonts w:ascii="Tahoma" w:hAnsi="Tahoma" w:cs="Tahoma"/>
              </w:rPr>
            </w:pPr>
            <w:r w:rsidRPr="008E6ABD">
              <w:rPr>
                <w:rFonts w:ascii="Tahoma" w:hAnsi="Tahoma" w:cs="Tahoma"/>
              </w:rPr>
              <w:t>0.7%</w:t>
            </w:r>
          </w:p>
        </w:tc>
      </w:tr>
    </w:tbl>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1: Comprende los Intermediarios que Cuentan con Calificación Crediticia de AAA en la Escala Local o Mayor a A en Escala Global.</w:t>
      </w:r>
    </w:p>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2: Comprende los Intermediarios que Cuentan con Calificación Crediticia entre AA+ y AA- en la Escala Local.</w:t>
      </w:r>
    </w:p>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3: Comprende los Intermediarios que Cuentan con Calificación Crediticia entre A+ y A- en la Escala Local.</w:t>
      </w:r>
    </w:p>
    <w:p w:rsidR="00497854" w:rsidRPr="00262502" w:rsidRDefault="00497854" w:rsidP="00497854">
      <w:pPr>
        <w:pStyle w:val="VIETA1"/>
        <w:numPr>
          <w:ilvl w:val="0"/>
          <w:numId w:val="0"/>
        </w:numPr>
        <w:rPr>
          <w:rFonts w:ascii="Tahoma" w:hAnsi="Tahoma" w:cs="Tahoma"/>
          <w:i/>
          <w:color w:val="000000" w:themeColor="text1"/>
          <w:szCs w:val="22"/>
        </w:rPr>
      </w:pPr>
      <w:r w:rsidRPr="00262502">
        <w:rPr>
          <w:rFonts w:ascii="Tahoma" w:hAnsi="Tahoma" w:cs="Tahoma"/>
          <w:i/>
          <w:color w:val="000000" w:themeColor="text1"/>
          <w:szCs w:val="22"/>
        </w:rPr>
        <w:t>Categoría 4: Comprende los Intermediarios que Cuentan con Calificación Crediticia Igual o Menor a BBB+ en la Escala Local o que no Cuenten con Calificación Crediticia.</w:t>
      </w:r>
    </w:p>
    <w:p w:rsidR="00262502" w:rsidRDefault="00497854" w:rsidP="00497854">
      <w:pPr>
        <w:pStyle w:val="VIETA1"/>
        <w:numPr>
          <w:ilvl w:val="0"/>
          <w:numId w:val="0"/>
        </w:numPr>
        <w:ind w:right="0"/>
        <w:rPr>
          <w:rFonts w:ascii="Tahoma" w:hAnsi="Tahoma" w:cs="Tahoma"/>
          <w:i/>
          <w:color w:val="000000" w:themeColor="text1"/>
          <w:szCs w:val="22"/>
        </w:rPr>
      </w:pPr>
      <w:r w:rsidRPr="00262502">
        <w:rPr>
          <w:rFonts w:ascii="Tahoma" w:hAnsi="Tahoma" w:cs="Tahoma"/>
          <w:i/>
          <w:color w:val="000000" w:themeColor="text1"/>
          <w:szCs w:val="22"/>
        </w:rPr>
        <w:t>Nota: En Caso de que se Opere más de un Tipo de Valor con Alguna Contraparte, se Tomará el Límite Máximo de Operación como el Límite Total a Operarse.</w:t>
      </w:r>
    </w:p>
    <w:p w:rsidR="00262502" w:rsidRDefault="00262502">
      <w:pPr>
        <w:rPr>
          <w:rFonts w:ascii="Tahoma" w:eastAsia="Times New Roman" w:hAnsi="Tahoma" w:cs="Tahoma"/>
          <w:i/>
          <w:color w:val="000000" w:themeColor="text1"/>
          <w:sz w:val="20"/>
          <w:lang w:val="es-ES" w:eastAsia="es-ES"/>
        </w:rPr>
      </w:pPr>
      <w:r>
        <w:rPr>
          <w:rFonts w:ascii="Tahoma" w:hAnsi="Tahoma" w:cs="Tahoma"/>
          <w:i/>
          <w:color w:val="000000" w:themeColor="text1"/>
        </w:rPr>
        <w:br w:type="page"/>
      </w:r>
    </w:p>
    <w:p w:rsidR="00C57FAB" w:rsidRPr="008E6ABD" w:rsidRDefault="00C57FAB"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lastRenderedPageBreak/>
        <w:t>Informe al Middle o Back Office sobre las Operaciones</w:t>
      </w:r>
      <w:r w:rsidR="00141914" w:rsidRPr="008E6ABD">
        <w:rPr>
          <w:rFonts w:ascii="Tahoma" w:hAnsi="Tahoma" w:cs="Tahoma"/>
          <w:b/>
          <w:color w:val="000000" w:themeColor="text1"/>
          <w:sz w:val="22"/>
          <w:szCs w:val="22"/>
        </w:rPr>
        <w:t xml:space="preserve"> (Blotter)</w:t>
      </w:r>
    </w:p>
    <w:p w:rsidR="002738D2" w:rsidRPr="008E6ABD" w:rsidRDefault="00DC4494"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 xml:space="preserve">Una vez que se haya terminado la jornada, los operadores deberán informar al área de </w:t>
      </w:r>
      <w:r w:rsidRPr="008E6ABD">
        <w:rPr>
          <w:rFonts w:ascii="Tahoma" w:hAnsi="Tahoma" w:cs="Tahoma"/>
          <w:b/>
          <w:color w:val="000000" w:themeColor="text1"/>
          <w:lang w:val="es-MX"/>
        </w:rPr>
        <w:t>Middle</w:t>
      </w:r>
      <w:r w:rsidRPr="008E6ABD">
        <w:rPr>
          <w:rFonts w:ascii="Tahoma" w:hAnsi="Tahoma" w:cs="Tahoma"/>
          <w:color w:val="000000" w:themeColor="text1"/>
          <w:lang w:val="es-MX"/>
        </w:rPr>
        <w:t xml:space="preserve"> y/o </w:t>
      </w:r>
      <w:r w:rsidRPr="008E6ABD">
        <w:rPr>
          <w:rFonts w:ascii="Tahoma" w:hAnsi="Tahoma" w:cs="Tahoma"/>
          <w:b/>
          <w:color w:val="000000" w:themeColor="text1"/>
          <w:lang w:val="es-MX"/>
        </w:rPr>
        <w:t>Back Office</w:t>
      </w:r>
      <w:r w:rsidRPr="008E6ABD">
        <w:rPr>
          <w:rFonts w:ascii="Tahoma" w:hAnsi="Tahoma" w:cs="Tahoma"/>
          <w:color w:val="000000" w:themeColor="text1"/>
          <w:lang w:val="es-MX"/>
        </w:rPr>
        <w:t xml:space="preserve"> sobre las operaciones realizadas con el fin de que esta área pueda documentar los movimientos y en su caso estar lista para hacer o recibir los pagos de los instrumentos operados. Adicionalmente, para hacer los movimientos en el portafolio los instrumentos operados.</w:t>
      </w:r>
      <w:r w:rsidR="002738D2" w:rsidRPr="008E6ABD">
        <w:rPr>
          <w:rFonts w:ascii="Tahoma" w:hAnsi="Tahoma" w:cs="Tahoma"/>
          <w:color w:val="000000" w:themeColor="text1"/>
          <w:lang w:val="es-MX"/>
        </w:rPr>
        <w:t xml:space="preserve"> En el caso de Reportos o movimientos mismo día, se deberá de notificar antes del cierre del día para que puedan realizar los movimientos de efectivo necesarios.</w:t>
      </w:r>
    </w:p>
    <w:p w:rsidR="00542C7B" w:rsidRPr="008E6ABD" w:rsidRDefault="00540008"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El informe debe de ir acompañado por una copia de cada transacción realizada.</w:t>
      </w:r>
      <w:r w:rsidR="002738D2" w:rsidRPr="008E6ABD">
        <w:rPr>
          <w:rFonts w:ascii="Tahoma" w:hAnsi="Tahoma" w:cs="Tahoma"/>
          <w:color w:val="000000" w:themeColor="text1"/>
          <w:lang w:val="es-MX"/>
        </w:rPr>
        <w:t xml:space="preserve"> Esto con el fin de que estas áreas puedan cotejar cada uno de los movimientos con su reporte del sistema.</w:t>
      </w:r>
    </w:p>
    <w:p w:rsidR="00F7530D" w:rsidRPr="008E6ABD" w:rsidRDefault="00F7530D" w:rsidP="008E6ABD">
      <w:pPr>
        <w:pStyle w:val="VIETA1"/>
        <w:numPr>
          <w:ilvl w:val="0"/>
          <w:numId w:val="8"/>
        </w:numPr>
        <w:spacing w:after="240"/>
        <w:ind w:left="357" w:right="0" w:hanging="357"/>
        <w:rPr>
          <w:rFonts w:ascii="Tahoma" w:hAnsi="Tahoma" w:cs="Tahoma"/>
          <w:b/>
          <w:color w:val="000000" w:themeColor="text1"/>
          <w:sz w:val="22"/>
          <w:szCs w:val="22"/>
        </w:rPr>
      </w:pPr>
      <w:r w:rsidRPr="008E6ABD">
        <w:rPr>
          <w:rFonts w:ascii="Tahoma" w:hAnsi="Tahoma" w:cs="Tahoma"/>
          <w:b/>
          <w:color w:val="000000" w:themeColor="text1"/>
          <w:sz w:val="22"/>
          <w:szCs w:val="22"/>
        </w:rPr>
        <w:t>Incumplimientos y desviaciones a las políticas</w:t>
      </w:r>
    </w:p>
    <w:p w:rsidR="00F7530D" w:rsidRPr="008E6ABD" w:rsidRDefault="00F7530D"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El incumplimiento a lo establecido en las presentes políticas podrá dar lugar a responsabilidades administrativas, laborales, inclusive hasta civiles.</w:t>
      </w:r>
    </w:p>
    <w:p w:rsidR="00F7530D" w:rsidRPr="008E6ABD" w:rsidRDefault="00F7530D" w:rsidP="00262502">
      <w:pPr>
        <w:spacing w:after="160"/>
        <w:ind w:left="357"/>
        <w:jc w:val="both"/>
        <w:rPr>
          <w:rFonts w:ascii="Tahoma" w:hAnsi="Tahoma" w:cs="Tahoma"/>
          <w:color w:val="000000" w:themeColor="text1"/>
          <w:lang w:val="es-MX"/>
        </w:rPr>
      </w:pPr>
      <w:r w:rsidRPr="008E6ABD">
        <w:rPr>
          <w:rFonts w:ascii="Tahoma" w:hAnsi="Tahoma" w:cs="Tahoma"/>
          <w:color w:val="000000" w:themeColor="text1"/>
          <w:lang w:val="es-MX"/>
        </w:rPr>
        <w:t>Las violaciones a las presentes políticas serán objeto de sanciones, aplicables conforme a la normatividad interna del Instituto en materia laboral, así como a las disposiciones legales aplicables.</w:t>
      </w:r>
    </w:p>
    <w:p w:rsidR="00F7530D" w:rsidRPr="00262502" w:rsidRDefault="00F7530D" w:rsidP="00262502">
      <w:pPr>
        <w:spacing w:after="160"/>
        <w:ind w:left="357"/>
        <w:jc w:val="both"/>
        <w:rPr>
          <w:rFonts w:ascii="Tahoma" w:hAnsi="Tahoma" w:cs="Tahoma"/>
          <w:color w:val="000000" w:themeColor="text1"/>
          <w:lang w:val="es-MX"/>
        </w:rPr>
      </w:pPr>
      <w:r w:rsidRPr="00262502">
        <w:rPr>
          <w:rFonts w:ascii="Tahoma" w:hAnsi="Tahoma" w:cs="Tahoma"/>
          <w:color w:val="000000" w:themeColor="text1"/>
          <w:lang w:val="es-MX"/>
        </w:rPr>
        <w:t xml:space="preserve">Los incumplimientos detectados deberán ser reportados por </w:t>
      </w:r>
      <w:r w:rsidR="00D23508" w:rsidRPr="00262502">
        <w:rPr>
          <w:rFonts w:ascii="Tahoma" w:hAnsi="Tahoma" w:cs="Tahoma"/>
          <w:color w:val="000000" w:themeColor="text1"/>
          <w:lang w:val="es-MX"/>
        </w:rPr>
        <w:t>control interno</w:t>
      </w:r>
      <w:r w:rsidRPr="00262502">
        <w:rPr>
          <w:rFonts w:ascii="Tahoma" w:hAnsi="Tahoma" w:cs="Tahoma"/>
          <w:color w:val="000000" w:themeColor="text1"/>
          <w:lang w:val="es-MX"/>
        </w:rPr>
        <w:t xml:space="preserve"> a las instancias internas correspondientes, de conformidad con la severidad y recurrencia de los</w:t>
      </w:r>
      <w:r w:rsidR="004141B5" w:rsidRPr="00262502">
        <w:rPr>
          <w:rFonts w:ascii="Tahoma" w:hAnsi="Tahoma" w:cs="Tahoma"/>
          <w:color w:val="000000" w:themeColor="text1"/>
          <w:lang w:val="es-MX"/>
        </w:rPr>
        <w:t xml:space="preserve"> </w:t>
      </w:r>
      <w:r w:rsidRPr="00262502">
        <w:rPr>
          <w:rFonts w:ascii="Tahoma" w:hAnsi="Tahoma" w:cs="Tahoma"/>
          <w:color w:val="000000" w:themeColor="text1"/>
          <w:lang w:val="es-MX"/>
        </w:rPr>
        <w:t>mismos.</w:t>
      </w:r>
    </w:p>
    <w:sectPr w:rsidR="00F7530D" w:rsidRPr="00262502" w:rsidSect="00C07D67">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0039" w:rsidRDefault="00530039" w:rsidP="00BB0611">
      <w:r>
        <w:separator/>
      </w:r>
    </w:p>
  </w:endnote>
  <w:endnote w:type="continuationSeparator" w:id="0">
    <w:p w:rsidR="00530039" w:rsidRDefault="00530039" w:rsidP="00BB0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CG Palacio (W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1988509"/>
      <w:docPartObj>
        <w:docPartGallery w:val="Page Numbers (Bottom of Page)"/>
        <w:docPartUnique/>
      </w:docPartObj>
    </w:sdtPr>
    <w:sdtEndPr>
      <w:rPr>
        <w:rFonts w:ascii="Tahoma" w:hAnsi="Tahoma" w:cs="Tahoma"/>
        <w:sz w:val="20"/>
      </w:rPr>
    </w:sdtEndPr>
    <w:sdtContent>
      <w:p w:rsidR="00C07D67" w:rsidRPr="00C07D67" w:rsidRDefault="00C07D67">
        <w:pPr>
          <w:pStyle w:val="Piedepgina"/>
          <w:jc w:val="right"/>
          <w:rPr>
            <w:rFonts w:ascii="Tahoma" w:hAnsi="Tahoma" w:cs="Tahoma"/>
            <w:sz w:val="20"/>
          </w:rPr>
        </w:pPr>
        <w:r w:rsidRPr="00C07D67">
          <w:rPr>
            <w:rFonts w:ascii="Tahoma" w:hAnsi="Tahoma" w:cs="Tahoma"/>
            <w:sz w:val="20"/>
          </w:rPr>
          <w:fldChar w:fldCharType="begin"/>
        </w:r>
        <w:r w:rsidRPr="00C07D67">
          <w:rPr>
            <w:rFonts w:ascii="Tahoma" w:hAnsi="Tahoma" w:cs="Tahoma"/>
            <w:sz w:val="20"/>
          </w:rPr>
          <w:instrText>PAGE   \* MERGEFORMAT</w:instrText>
        </w:r>
        <w:r w:rsidRPr="00C07D67">
          <w:rPr>
            <w:rFonts w:ascii="Tahoma" w:hAnsi="Tahoma" w:cs="Tahoma"/>
            <w:sz w:val="20"/>
          </w:rPr>
          <w:fldChar w:fldCharType="separate"/>
        </w:r>
        <w:r w:rsidR="0091765C" w:rsidRPr="0091765C">
          <w:rPr>
            <w:rFonts w:ascii="Tahoma" w:hAnsi="Tahoma" w:cs="Tahoma"/>
            <w:noProof/>
            <w:sz w:val="20"/>
            <w:lang w:val="es-ES"/>
          </w:rPr>
          <w:t>10</w:t>
        </w:r>
        <w:r w:rsidRPr="00C07D67">
          <w:rPr>
            <w:rFonts w:ascii="Tahoma" w:hAnsi="Tahoma" w:cs="Tahoma"/>
            <w:sz w:val="20"/>
          </w:rPr>
          <w:fldChar w:fldCharType="end"/>
        </w:r>
      </w:p>
    </w:sdtContent>
  </w:sdt>
  <w:p w:rsidR="00C07D67" w:rsidRDefault="00C07D6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0039" w:rsidRDefault="00530039" w:rsidP="00BB0611">
      <w:r>
        <w:separator/>
      </w:r>
    </w:p>
  </w:footnote>
  <w:footnote w:type="continuationSeparator" w:id="0">
    <w:p w:rsidR="00530039" w:rsidRDefault="00530039" w:rsidP="00BB06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16FAF878"/>
    <w:lvl w:ilvl="0">
      <w:start w:val="1"/>
      <w:numFmt w:val="bullet"/>
      <w:pStyle w:val="Listaconvietas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140A2E2E"/>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24D20A3C"/>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CD5CE6D0"/>
    <w:lvl w:ilvl="0">
      <w:start w:val="1"/>
      <w:numFmt w:val="bullet"/>
      <w:pStyle w:val="Listaconvietas"/>
      <w:lvlText w:val=""/>
      <w:lvlJc w:val="left"/>
      <w:pPr>
        <w:tabs>
          <w:tab w:val="num" w:pos="360"/>
        </w:tabs>
        <w:ind w:left="360" w:hanging="360"/>
      </w:pPr>
      <w:rPr>
        <w:rFonts w:ascii="Symbol" w:hAnsi="Symbol" w:hint="default"/>
      </w:rPr>
    </w:lvl>
  </w:abstractNum>
  <w:abstractNum w:abstractNumId="4" w15:restartNumberingAfterBreak="0">
    <w:nsid w:val="043756F0"/>
    <w:multiLevelType w:val="hybridMultilevel"/>
    <w:tmpl w:val="188878C8"/>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5" w15:restartNumberingAfterBreak="0">
    <w:nsid w:val="1D1A2E5E"/>
    <w:multiLevelType w:val="hybridMultilevel"/>
    <w:tmpl w:val="10DE6D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E723147"/>
    <w:multiLevelType w:val="hybridMultilevel"/>
    <w:tmpl w:val="58E6F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F560EA76" w:tentative="1">
      <w:start w:val="1"/>
      <w:numFmt w:val="decimal"/>
      <w:lvlText w:val="%4."/>
      <w:lvlJc w:val="left"/>
      <w:pPr>
        <w:ind w:left="2880" w:hanging="360"/>
      </w:pPr>
    </w:lvl>
    <w:lvl w:ilvl="4" w:tplc="77E03DEC" w:tentative="1">
      <w:start w:val="1"/>
      <w:numFmt w:val="lowerLetter"/>
      <w:lvlText w:val="%5."/>
      <w:lvlJc w:val="left"/>
      <w:pPr>
        <w:ind w:left="3600" w:hanging="360"/>
      </w:pPr>
    </w:lvl>
    <w:lvl w:ilvl="5" w:tplc="0AAE25DE" w:tentative="1">
      <w:start w:val="1"/>
      <w:numFmt w:val="lowerRoman"/>
      <w:lvlText w:val="%6."/>
      <w:lvlJc w:val="right"/>
      <w:pPr>
        <w:ind w:left="4320" w:hanging="180"/>
      </w:pPr>
    </w:lvl>
    <w:lvl w:ilvl="6" w:tplc="40627BEE" w:tentative="1">
      <w:start w:val="1"/>
      <w:numFmt w:val="decimal"/>
      <w:lvlText w:val="%7."/>
      <w:lvlJc w:val="left"/>
      <w:pPr>
        <w:ind w:left="5040" w:hanging="360"/>
      </w:pPr>
    </w:lvl>
    <w:lvl w:ilvl="7" w:tplc="F66C0F2E" w:tentative="1">
      <w:start w:val="1"/>
      <w:numFmt w:val="lowerLetter"/>
      <w:lvlText w:val="%8."/>
      <w:lvlJc w:val="left"/>
      <w:pPr>
        <w:ind w:left="5760" w:hanging="360"/>
      </w:pPr>
    </w:lvl>
    <w:lvl w:ilvl="8" w:tplc="BA1AF2EA" w:tentative="1">
      <w:start w:val="1"/>
      <w:numFmt w:val="lowerRoman"/>
      <w:lvlText w:val="%9."/>
      <w:lvlJc w:val="right"/>
      <w:pPr>
        <w:ind w:left="6480" w:hanging="180"/>
      </w:pPr>
    </w:lvl>
  </w:abstractNum>
  <w:abstractNum w:abstractNumId="7" w15:restartNumberingAfterBreak="0">
    <w:nsid w:val="300C6A5A"/>
    <w:multiLevelType w:val="hybridMultilevel"/>
    <w:tmpl w:val="99EC857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8" w15:restartNumberingAfterBreak="0">
    <w:nsid w:val="3A2018EE"/>
    <w:multiLevelType w:val="hybridMultilevel"/>
    <w:tmpl w:val="34027C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6921715"/>
    <w:multiLevelType w:val="hybridMultilevel"/>
    <w:tmpl w:val="7C121F12"/>
    <w:lvl w:ilvl="0" w:tplc="080A0001">
      <w:start w:val="1"/>
      <w:numFmt w:val="bullet"/>
      <w:lvlText w:val=""/>
      <w:lvlJc w:val="left"/>
      <w:pPr>
        <w:ind w:left="2000" w:hanging="360"/>
      </w:pPr>
      <w:rPr>
        <w:rFonts w:ascii="Symbol" w:hAnsi="Symbol" w:hint="default"/>
      </w:rPr>
    </w:lvl>
    <w:lvl w:ilvl="1" w:tplc="080A0003" w:tentative="1">
      <w:start w:val="1"/>
      <w:numFmt w:val="bullet"/>
      <w:lvlText w:val="o"/>
      <w:lvlJc w:val="left"/>
      <w:pPr>
        <w:ind w:left="2720" w:hanging="360"/>
      </w:pPr>
      <w:rPr>
        <w:rFonts w:ascii="Courier New" w:hAnsi="Courier New" w:cs="Courier New" w:hint="default"/>
      </w:rPr>
    </w:lvl>
    <w:lvl w:ilvl="2" w:tplc="080A0005" w:tentative="1">
      <w:start w:val="1"/>
      <w:numFmt w:val="bullet"/>
      <w:lvlText w:val=""/>
      <w:lvlJc w:val="left"/>
      <w:pPr>
        <w:ind w:left="3440" w:hanging="360"/>
      </w:pPr>
      <w:rPr>
        <w:rFonts w:ascii="Wingdings" w:hAnsi="Wingdings" w:hint="default"/>
      </w:rPr>
    </w:lvl>
    <w:lvl w:ilvl="3" w:tplc="080A0001" w:tentative="1">
      <w:start w:val="1"/>
      <w:numFmt w:val="bullet"/>
      <w:lvlText w:val=""/>
      <w:lvlJc w:val="left"/>
      <w:pPr>
        <w:ind w:left="4160" w:hanging="360"/>
      </w:pPr>
      <w:rPr>
        <w:rFonts w:ascii="Symbol" w:hAnsi="Symbol" w:hint="default"/>
      </w:rPr>
    </w:lvl>
    <w:lvl w:ilvl="4" w:tplc="080A0003" w:tentative="1">
      <w:start w:val="1"/>
      <w:numFmt w:val="bullet"/>
      <w:lvlText w:val="o"/>
      <w:lvlJc w:val="left"/>
      <w:pPr>
        <w:ind w:left="4880" w:hanging="360"/>
      </w:pPr>
      <w:rPr>
        <w:rFonts w:ascii="Courier New" w:hAnsi="Courier New" w:cs="Courier New" w:hint="default"/>
      </w:rPr>
    </w:lvl>
    <w:lvl w:ilvl="5" w:tplc="080A0005" w:tentative="1">
      <w:start w:val="1"/>
      <w:numFmt w:val="bullet"/>
      <w:lvlText w:val=""/>
      <w:lvlJc w:val="left"/>
      <w:pPr>
        <w:ind w:left="5600" w:hanging="360"/>
      </w:pPr>
      <w:rPr>
        <w:rFonts w:ascii="Wingdings" w:hAnsi="Wingdings" w:hint="default"/>
      </w:rPr>
    </w:lvl>
    <w:lvl w:ilvl="6" w:tplc="080A0001" w:tentative="1">
      <w:start w:val="1"/>
      <w:numFmt w:val="bullet"/>
      <w:lvlText w:val=""/>
      <w:lvlJc w:val="left"/>
      <w:pPr>
        <w:ind w:left="6320" w:hanging="360"/>
      </w:pPr>
      <w:rPr>
        <w:rFonts w:ascii="Symbol" w:hAnsi="Symbol" w:hint="default"/>
      </w:rPr>
    </w:lvl>
    <w:lvl w:ilvl="7" w:tplc="080A0003" w:tentative="1">
      <w:start w:val="1"/>
      <w:numFmt w:val="bullet"/>
      <w:lvlText w:val="o"/>
      <w:lvlJc w:val="left"/>
      <w:pPr>
        <w:ind w:left="7040" w:hanging="360"/>
      </w:pPr>
      <w:rPr>
        <w:rFonts w:ascii="Courier New" w:hAnsi="Courier New" w:cs="Courier New" w:hint="default"/>
      </w:rPr>
    </w:lvl>
    <w:lvl w:ilvl="8" w:tplc="080A0005" w:tentative="1">
      <w:start w:val="1"/>
      <w:numFmt w:val="bullet"/>
      <w:lvlText w:val=""/>
      <w:lvlJc w:val="left"/>
      <w:pPr>
        <w:ind w:left="7760" w:hanging="360"/>
      </w:pPr>
      <w:rPr>
        <w:rFonts w:ascii="Wingdings" w:hAnsi="Wingdings" w:hint="default"/>
      </w:rPr>
    </w:lvl>
  </w:abstractNum>
  <w:abstractNum w:abstractNumId="10" w15:restartNumberingAfterBreak="0">
    <w:nsid w:val="49A45858"/>
    <w:multiLevelType w:val="singleLevel"/>
    <w:tmpl w:val="3FF63ED8"/>
    <w:lvl w:ilvl="0">
      <w:start w:val="1"/>
      <w:numFmt w:val="bullet"/>
      <w:pStyle w:val="VIETA1"/>
      <w:lvlText w:val=""/>
      <w:lvlJc w:val="left"/>
      <w:pPr>
        <w:tabs>
          <w:tab w:val="num" w:pos="360"/>
        </w:tabs>
        <w:ind w:left="360" w:hanging="360"/>
      </w:pPr>
      <w:rPr>
        <w:rFonts w:ascii="Wingdings" w:hAnsi="Wingdings" w:hint="default"/>
      </w:rPr>
    </w:lvl>
  </w:abstractNum>
  <w:abstractNum w:abstractNumId="11" w15:restartNumberingAfterBreak="0">
    <w:nsid w:val="55415CE6"/>
    <w:multiLevelType w:val="hybridMultilevel"/>
    <w:tmpl w:val="426EE1F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2" w15:restartNumberingAfterBreak="0">
    <w:nsid w:val="58C8302C"/>
    <w:multiLevelType w:val="hybridMultilevel"/>
    <w:tmpl w:val="7324C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2A7CAA"/>
    <w:multiLevelType w:val="hybridMultilevel"/>
    <w:tmpl w:val="A56CD45C"/>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4" w15:restartNumberingAfterBreak="0">
    <w:nsid w:val="649E4319"/>
    <w:multiLevelType w:val="hybridMultilevel"/>
    <w:tmpl w:val="B0CE75F6"/>
    <w:lvl w:ilvl="0" w:tplc="04090001">
      <w:start w:val="1"/>
      <w:numFmt w:val="bullet"/>
      <w:lvlText w:val=""/>
      <w:lvlJc w:val="left"/>
      <w:pPr>
        <w:ind w:left="1512" w:hanging="360"/>
      </w:pPr>
      <w:rPr>
        <w:rFonts w:ascii="Symbol" w:hAnsi="Symbol" w:hint="default"/>
      </w:rPr>
    </w:lvl>
    <w:lvl w:ilvl="1" w:tplc="04090003">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5" w15:restartNumberingAfterBreak="0">
    <w:nsid w:val="6E9524B4"/>
    <w:multiLevelType w:val="hybridMultilevel"/>
    <w:tmpl w:val="6D92032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6" w15:restartNumberingAfterBreak="0">
    <w:nsid w:val="72847CD0"/>
    <w:multiLevelType w:val="multilevel"/>
    <w:tmpl w:val="0C0A0025"/>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pStyle w:val="Ttulo9"/>
      <w:lvlText w:val="%1.%2.%3.%4.%5.%6.%7.%8.%9"/>
      <w:lvlJc w:val="left"/>
      <w:pPr>
        <w:tabs>
          <w:tab w:val="num" w:pos="1584"/>
        </w:tabs>
        <w:ind w:left="1584" w:hanging="1584"/>
      </w:pPr>
    </w:lvl>
  </w:abstractNum>
  <w:abstractNum w:abstractNumId="17" w15:restartNumberingAfterBreak="0">
    <w:nsid w:val="733F14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FE42D86"/>
    <w:multiLevelType w:val="hybridMultilevel"/>
    <w:tmpl w:val="55CA7BF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12"/>
  </w:num>
  <w:num w:numId="4">
    <w:abstractNumId w:val="16"/>
  </w:num>
  <w:num w:numId="5">
    <w:abstractNumId w:val="3"/>
  </w:num>
  <w:num w:numId="6">
    <w:abstractNumId w:val="2"/>
  </w:num>
  <w:num w:numId="7">
    <w:abstractNumId w:val="0"/>
  </w:num>
  <w:num w:numId="8">
    <w:abstractNumId w:val="17"/>
  </w:num>
  <w:num w:numId="9">
    <w:abstractNumId w:val="8"/>
  </w:num>
  <w:num w:numId="10">
    <w:abstractNumId w:val="5"/>
  </w:num>
  <w:num w:numId="11">
    <w:abstractNumId w:val="7"/>
  </w:num>
  <w:num w:numId="12">
    <w:abstractNumId w:val="15"/>
  </w:num>
  <w:num w:numId="13">
    <w:abstractNumId w:val="14"/>
  </w:num>
  <w:num w:numId="14">
    <w:abstractNumId w:val="4"/>
  </w:num>
  <w:num w:numId="15">
    <w:abstractNumId w:val="13"/>
  </w:num>
  <w:num w:numId="16">
    <w:abstractNumId w:val="11"/>
  </w:num>
  <w:num w:numId="17">
    <w:abstractNumId w:val="6"/>
  </w:num>
  <w:num w:numId="18">
    <w:abstractNumId w:val="18"/>
  </w:num>
  <w:num w:numId="19">
    <w:abstractNumId w:val="10"/>
  </w:num>
  <w:num w:numId="20">
    <w:abstractNumId w:val="10"/>
  </w:num>
  <w:num w:numId="21">
    <w:abstractNumId w:val="10"/>
  </w:num>
  <w:num w:numId="22">
    <w:abstractNumId w:val="10"/>
  </w:num>
  <w:num w:numId="23">
    <w:abstractNumId w:val="10"/>
  </w:num>
  <w:num w:numId="24">
    <w:abstractNumId w:val="10"/>
  </w:num>
  <w:num w:numId="25">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C7B"/>
    <w:rsid w:val="00002F71"/>
    <w:rsid w:val="0000464E"/>
    <w:rsid w:val="000061DE"/>
    <w:rsid w:val="00006E71"/>
    <w:rsid w:val="00010491"/>
    <w:rsid w:val="00013955"/>
    <w:rsid w:val="00013EBE"/>
    <w:rsid w:val="00015437"/>
    <w:rsid w:val="0001616F"/>
    <w:rsid w:val="00017CEA"/>
    <w:rsid w:val="000208D8"/>
    <w:rsid w:val="00025E64"/>
    <w:rsid w:val="00027677"/>
    <w:rsid w:val="000325E8"/>
    <w:rsid w:val="00032D0D"/>
    <w:rsid w:val="000333E4"/>
    <w:rsid w:val="00034309"/>
    <w:rsid w:val="000344CE"/>
    <w:rsid w:val="00034D8F"/>
    <w:rsid w:val="0003514E"/>
    <w:rsid w:val="00035F55"/>
    <w:rsid w:val="00041DDF"/>
    <w:rsid w:val="000445B5"/>
    <w:rsid w:val="0004462F"/>
    <w:rsid w:val="000464CD"/>
    <w:rsid w:val="00050FAE"/>
    <w:rsid w:val="00050FC2"/>
    <w:rsid w:val="00052E2E"/>
    <w:rsid w:val="00060033"/>
    <w:rsid w:val="00060E47"/>
    <w:rsid w:val="00061DE1"/>
    <w:rsid w:val="0006297A"/>
    <w:rsid w:val="00062CAD"/>
    <w:rsid w:val="00063A2D"/>
    <w:rsid w:val="00064A89"/>
    <w:rsid w:val="00067469"/>
    <w:rsid w:val="00071884"/>
    <w:rsid w:val="00071BEA"/>
    <w:rsid w:val="0007339D"/>
    <w:rsid w:val="00073470"/>
    <w:rsid w:val="00074302"/>
    <w:rsid w:val="000749FA"/>
    <w:rsid w:val="0007755D"/>
    <w:rsid w:val="00081F0C"/>
    <w:rsid w:val="00082166"/>
    <w:rsid w:val="00083DEC"/>
    <w:rsid w:val="00085B39"/>
    <w:rsid w:val="00091911"/>
    <w:rsid w:val="000961E7"/>
    <w:rsid w:val="000963B9"/>
    <w:rsid w:val="000A0439"/>
    <w:rsid w:val="000A2F92"/>
    <w:rsid w:val="000A36CD"/>
    <w:rsid w:val="000A3776"/>
    <w:rsid w:val="000A47C4"/>
    <w:rsid w:val="000A585B"/>
    <w:rsid w:val="000A6577"/>
    <w:rsid w:val="000A68B5"/>
    <w:rsid w:val="000A73FA"/>
    <w:rsid w:val="000B1331"/>
    <w:rsid w:val="000B1905"/>
    <w:rsid w:val="000B2436"/>
    <w:rsid w:val="000B3B10"/>
    <w:rsid w:val="000B5362"/>
    <w:rsid w:val="000B586F"/>
    <w:rsid w:val="000C51E8"/>
    <w:rsid w:val="000C59A7"/>
    <w:rsid w:val="000D08DD"/>
    <w:rsid w:val="000D3836"/>
    <w:rsid w:val="000D3AB2"/>
    <w:rsid w:val="000D6E39"/>
    <w:rsid w:val="000D7AA8"/>
    <w:rsid w:val="000E07E0"/>
    <w:rsid w:val="000E0CD2"/>
    <w:rsid w:val="000E124F"/>
    <w:rsid w:val="000E1485"/>
    <w:rsid w:val="000E1E81"/>
    <w:rsid w:val="000E216F"/>
    <w:rsid w:val="000E2447"/>
    <w:rsid w:val="000E2856"/>
    <w:rsid w:val="000E341E"/>
    <w:rsid w:val="000E3E9A"/>
    <w:rsid w:val="000E449E"/>
    <w:rsid w:val="000E4A7B"/>
    <w:rsid w:val="000E4B66"/>
    <w:rsid w:val="000E79FD"/>
    <w:rsid w:val="000F0A60"/>
    <w:rsid w:val="000F144D"/>
    <w:rsid w:val="000F33ED"/>
    <w:rsid w:val="000F7CE6"/>
    <w:rsid w:val="00101EDF"/>
    <w:rsid w:val="001022AB"/>
    <w:rsid w:val="001027C7"/>
    <w:rsid w:val="00102E0E"/>
    <w:rsid w:val="00103365"/>
    <w:rsid w:val="00104510"/>
    <w:rsid w:val="00106FBD"/>
    <w:rsid w:val="00107CF8"/>
    <w:rsid w:val="001108B5"/>
    <w:rsid w:val="00113476"/>
    <w:rsid w:val="00113A80"/>
    <w:rsid w:val="0011417D"/>
    <w:rsid w:val="00114432"/>
    <w:rsid w:val="0011472C"/>
    <w:rsid w:val="0011727C"/>
    <w:rsid w:val="00121C39"/>
    <w:rsid w:val="00124C71"/>
    <w:rsid w:val="00126D43"/>
    <w:rsid w:val="0013004E"/>
    <w:rsid w:val="00130C37"/>
    <w:rsid w:val="00135F76"/>
    <w:rsid w:val="0013752C"/>
    <w:rsid w:val="0014088E"/>
    <w:rsid w:val="00141914"/>
    <w:rsid w:val="001429F6"/>
    <w:rsid w:val="001432E4"/>
    <w:rsid w:val="0014347E"/>
    <w:rsid w:val="00144399"/>
    <w:rsid w:val="00144B81"/>
    <w:rsid w:val="00146C3E"/>
    <w:rsid w:val="001475A3"/>
    <w:rsid w:val="001521DA"/>
    <w:rsid w:val="00155460"/>
    <w:rsid w:val="00156601"/>
    <w:rsid w:val="0016180A"/>
    <w:rsid w:val="0016212D"/>
    <w:rsid w:val="00162540"/>
    <w:rsid w:val="00162E47"/>
    <w:rsid w:val="0016464E"/>
    <w:rsid w:val="0016538E"/>
    <w:rsid w:val="001659FA"/>
    <w:rsid w:val="00166176"/>
    <w:rsid w:val="001705C6"/>
    <w:rsid w:val="00171723"/>
    <w:rsid w:val="001745D9"/>
    <w:rsid w:val="00177315"/>
    <w:rsid w:val="00177345"/>
    <w:rsid w:val="00177DE6"/>
    <w:rsid w:val="0018076A"/>
    <w:rsid w:val="00181A77"/>
    <w:rsid w:val="00182141"/>
    <w:rsid w:val="00182A89"/>
    <w:rsid w:val="00182CA1"/>
    <w:rsid w:val="00183294"/>
    <w:rsid w:val="00183740"/>
    <w:rsid w:val="001840B2"/>
    <w:rsid w:val="001846C8"/>
    <w:rsid w:val="00184F1B"/>
    <w:rsid w:val="0018599A"/>
    <w:rsid w:val="0018683D"/>
    <w:rsid w:val="001879F3"/>
    <w:rsid w:val="00190499"/>
    <w:rsid w:val="00190B55"/>
    <w:rsid w:val="0019348A"/>
    <w:rsid w:val="0019473C"/>
    <w:rsid w:val="0019594F"/>
    <w:rsid w:val="001A0DCF"/>
    <w:rsid w:val="001A153B"/>
    <w:rsid w:val="001A16CC"/>
    <w:rsid w:val="001A18CC"/>
    <w:rsid w:val="001A40F0"/>
    <w:rsid w:val="001A4F04"/>
    <w:rsid w:val="001A5905"/>
    <w:rsid w:val="001A6A56"/>
    <w:rsid w:val="001A7BA6"/>
    <w:rsid w:val="001B06F1"/>
    <w:rsid w:val="001B2966"/>
    <w:rsid w:val="001B341B"/>
    <w:rsid w:val="001B7AD4"/>
    <w:rsid w:val="001B7E66"/>
    <w:rsid w:val="001C0465"/>
    <w:rsid w:val="001C0A82"/>
    <w:rsid w:val="001C1FDF"/>
    <w:rsid w:val="001C2CA1"/>
    <w:rsid w:val="001C3C31"/>
    <w:rsid w:val="001D403D"/>
    <w:rsid w:val="001D7962"/>
    <w:rsid w:val="001E08AE"/>
    <w:rsid w:val="001E23B9"/>
    <w:rsid w:val="001E27CF"/>
    <w:rsid w:val="001E3065"/>
    <w:rsid w:val="001E437A"/>
    <w:rsid w:val="001E46B3"/>
    <w:rsid w:val="001E4DA3"/>
    <w:rsid w:val="001E6239"/>
    <w:rsid w:val="001F242B"/>
    <w:rsid w:val="001F3D1A"/>
    <w:rsid w:val="001F401D"/>
    <w:rsid w:val="001F5271"/>
    <w:rsid w:val="001F54BB"/>
    <w:rsid w:val="00200A79"/>
    <w:rsid w:val="00204C9E"/>
    <w:rsid w:val="00205958"/>
    <w:rsid w:val="00206CFE"/>
    <w:rsid w:val="00211CCB"/>
    <w:rsid w:val="0021360A"/>
    <w:rsid w:val="00214164"/>
    <w:rsid w:val="00214782"/>
    <w:rsid w:val="00214B6B"/>
    <w:rsid w:val="002155E9"/>
    <w:rsid w:val="00215996"/>
    <w:rsid w:val="00215B9A"/>
    <w:rsid w:val="0021673F"/>
    <w:rsid w:val="00216A23"/>
    <w:rsid w:val="002202CC"/>
    <w:rsid w:val="00221281"/>
    <w:rsid w:val="00222BC8"/>
    <w:rsid w:val="00222E60"/>
    <w:rsid w:val="00224A55"/>
    <w:rsid w:val="00226327"/>
    <w:rsid w:val="00231989"/>
    <w:rsid w:val="002423C3"/>
    <w:rsid w:val="00245CE8"/>
    <w:rsid w:val="00245E43"/>
    <w:rsid w:val="00247A69"/>
    <w:rsid w:val="00247E46"/>
    <w:rsid w:val="002529E6"/>
    <w:rsid w:val="00252EE3"/>
    <w:rsid w:val="00253DE0"/>
    <w:rsid w:val="002547B4"/>
    <w:rsid w:val="002557A2"/>
    <w:rsid w:val="0025648B"/>
    <w:rsid w:val="00260CE0"/>
    <w:rsid w:val="00260CF9"/>
    <w:rsid w:val="002618A0"/>
    <w:rsid w:val="00262502"/>
    <w:rsid w:val="00263F9E"/>
    <w:rsid w:val="00266678"/>
    <w:rsid w:val="00267029"/>
    <w:rsid w:val="002707DA"/>
    <w:rsid w:val="002709DA"/>
    <w:rsid w:val="00271642"/>
    <w:rsid w:val="0027237B"/>
    <w:rsid w:val="00272505"/>
    <w:rsid w:val="00272BC4"/>
    <w:rsid w:val="002738D2"/>
    <w:rsid w:val="002747C2"/>
    <w:rsid w:val="002756E6"/>
    <w:rsid w:val="0027763D"/>
    <w:rsid w:val="00280CB7"/>
    <w:rsid w:val="00281653"/>
    <w:rsid w:val="00281BC6"/>
    <w:rsid w:val="0028228D"/>
    <w:rsid w:val="00285CAF"/>
    <w:rsid w:val="00285F76"/>
    <w:rsid w:val="0028601F"/>
    <w:rsid w:val="0028609B"/>
    <w:rsid w:val="0029431F"/>
    <w:rsid w:val="00294552"/>
    <w:rsid w:val="002955C3"/>
    <w:rsid w:val="00295A7B"/>
    <w:rsid w:val="00296FA0"/>
    <w:rsid w:val="00297130"/>
    <w:rsid w:val="002A1EBE"/>
    <w:rsid w:val="002A424A"/>
    <w:rsid w:val="002A6ACC"/>
    <w:rsid w:val="002A7C4B"/>
    <w:rsid w:val="002B093A"/>
    <w:rsid w:val="002B30F3"/>
    <w:rsid w:val="002B4989"/>
    <w:rsid w:val="002B5E86"/>
    <w:rsid w:val="002C04F7"/>
    <w:rsid w:val="002C06CA"/>
    <w:rsid w:val="002C100B"/>
    <w:rsid w:val="002C11EC"/>
    <w:rsid w:val="002C1350"/>
    <w:rsid w:val="002C138A"/>
    <w:rsid w:val="002C1793"/>
    <w:rsid w:val="002C398F"/>
    <w:rsid w:val="002C6D52"/>
    <w:rsid w:val="002C7976"/>
    <w:rsid w:val="002D1125"/>
    <w:rsid w:val="002D2680"/>
    <w:rsid w:val="002D399F"/>
    <w:rsid w:val="002D3C65"/>
    <w:rsid w:val="002D4781"/>
    <w:rsid w:val="002D54F3"/>
    <w:rsid w:val="002D5CF5"/>
    <w:rsid w:val="002E018D"/>
    <w:rsid w:val="002E0CB2"/>
    <w:rsid w:val="002E0EF3"/>
    <w:rsid w:val="002E2010"/>
    <w:rsid w:val="002E4436"/>
    <w:rsid w:val="002E6470"/>
    <w:rsid w:val="002E78A6"/>
    <w:rsid w:val="002F0CAF"/>
    <w:rsid w:val="002F39EA"/>
    <w:rsid w:val="002F6BE0"/>
    <w:rsid w:val="002F7E12"/>
    <w:rsid w:val="003008B5"/>
    <w:rsid w:val="00301471"/>
    <w:rsid w:val="00301EE3"/>
    <w:rsid w:val="0030329F"/>
    <w:rsid w:val="00304877"/>
    <w:rsid w:val="0030621F"/>
    <w:rsid w:val="003105E1"/>
    <w:rsid w:val="003107D2"/>
    <w:rsid w:val="003115A0"/>
    <w:rsid w:val="00312AAE"/>
    <w:rsid w:val="00313AB3"/>
    <w:rsid w:val="003141BD"/>
    <w:rsid w:val="003150C6"/>
    <w:rsid w:val="00315565"/>
    <w:rsid w:val="00315850"/>
    <w:rsid w:val="00315BC4"/>
    <w:rsid w:val="00316BE1"/>
    <w:rsid w:val="00316EBA"/>
    <w:rsid w:val="00317181"/>
    <w:rsid w:val="003202FD"/>
    <w:rsid w:val="00321F07"/>
    <w:rsid w:val="00322215"/>
    <w:rsid w:val="00322C8C"/>
    <w:rsid w:val="0032330A"/>
    <w:rsid w:val="003241B3"/>
    <w:rsid w:val="003241D6"/>
    <w:rsid w:val="00324658"/>
    <w:rsid w:val="003259D6"/>
    <w:rsid w:val="00327AFC"/>
    <w:rsid w:val="00330062"/>
    <w:rsid w:val="003350B3"/>
    <w:rsid w:val="003358FD"/>
    <w:rsid w:val="00340A2C"/>
    <w:rsid w:val="00341918"/>
    <w:rsid w:val="003422E4"/>
    <w:rsid w:val="00344B79"/>
    <w:rsid w:val="003454C2"/>
    <w:rsid w:val="003463EC"/>
    <w:rsid w:val="0034661B"/>
    <w:rsid w:val="0034675F"/>
    <w:rsid w:val="0035104E"/>
    <w:rsid w:val="00352915"/>
    <w:rsid w:val="00353C29"/>
    <w:rsid w:val="003551A6"/>
    <w:rsid w:val="00356503"/>
    <w:rsid w:val="003576E8"/>
    <w:rsid w:val="00361869"/>
    <w:rsid w:val="00361B8D"/>
    <w:rsid w:val="00361E7F"/>
    <w:rsid w:val="0036287C"/>
    <w:rsid w:val="00362ACA"/>
    <w:rsid w:val="00363050"/>
    <w:rsid w:val="00363E32"/>
    <w:rsid w:val="00364817"/>
    <w:rsid w:val="00370FDF"/>
    <w:rsid w:val="00372864"/>
    <w:rsid w:val="00372C02"/>
    <w:rsid w:val="003731D9"/>
    <w:rsid w:val="00373BD0"/>
    <w:rsid w:val="003767A0"/>
    <w:rsid w:val="003777F5"/>
    <w:rsid w:val="00377B1E"/>
    <w:rsid w:val="00380C6C"/>
    <w:rsid w:val="003840F6"/>
    <w:rsid w:val="0038652B"/>
    <w:rsid w:val="00391BCD"/>
    <w:rsid w:val="00393CB9"/>
    <w:rsid w:val="003956B6"/>
    <w:rsid w:val="003959C4"/>
    <w:rsid w:val="0039665C"/>
    <w:rsid w:val="003968A6"/>
    <w:rsid w:val="00397F38"/>
    <w:rsid w:val="003A003E"/>
    <w:rsid w:val="003A0D06"/>
    <w:rsid w:val="003A3287"/>
    <w:rsid w:val="003A32BF"/>
    <w:rsid w:val="003A481D"/>
    <w:rsid w:val="003A535E"/>
    <w:rsid w:val="003A5F53"/>
    <w:rsid w:val="003B0022"/>
    <w:rsid w:val="003B0F04"/>
    <w:rsid w:val="003B1892"/>
    <w:rsid w:val="003B4104"/>
    <w:rsid w:val="003B51FA"/>
    <w:rsid w:val="003C2899"/>
    <w:rsid w:val="003C32FC"/>
    <w:rsid w:val="003C3921"/>
    <w:rsid w:val="003C75EE"/>
    <w:rsid w:val="003C768B"/>
    <w:rsid w:val="003E0621"/>
    <w:rsid w:val="003E323F"/>
    <w:rsid w:val="003E5601"/>
    <w:rsid w:val="003E65BB"/>
    <w:rsid w:val="003F05BC"/>
    <w:rsid w:val="003F1ACB"/>
    <w:rsid w:val="003F2B6B"/>
    <w:rsid w:val="003F3E97"/>
    <w:rsid w:val="003F72C1"/>
    <w:rsid w:val="00400AAE"/>
    <w:rsid w:val="00402E2C"/>
    <w:rsid w:val="004034A2"/>
    <w:rsid w:val="00403EA2"/>
    <w:rsid w:val="00404039"/>
    <w:rsid w:val="00404744"/>
    <w:rsid w:val="00405314"/>
    <w:rsid w:val="004056AD"/>
    <w:rsid w:val="00406600"/>
    <w:rsid w:val="00407EFB"/>
    <w:rsid w:val="004126D9"/>
    <w:rsid w:val="00413729"/>
    <w:rsid w:val="004141B5"/>
    <w:rsid w:val="004173D6"/>
    <w:rsid w:val="00420A39"/>
    <w:rsid w:val="00420C08"/>
    <w:rsid w:val="00423462"/>
    <w:rsid w:val="00423B94"/>
    <w:rsid w:val="00424790"/>
    <w:rsid w:val="00425DDF"/>
    <w:rsid w:val="00427061"/>
    <w:rsid w:val="00433FF5"/>
    <w:rsid w:val="004340E2"/>
    <w:rsid w:val="00434B03"/>
    <w:rsid w:val="00435F85"/>
    <w:rsid w:val="0043664D"/>
    <w:rsid w:val="00437EAB"/>
    <w:rsid w:val="0044090C"/>
    <w:rsid w:val="004445FA"/>
    <w:rsid w:val="004454C5"/>
    <w:rsid w:val="004454F4"/>
    <w:rsid w:val="0045019E"/>
    <w:rsid w:val="0045117B"/>
    <w:rsid w:val="0045493B"/>
    <w:rsid w:val="00461557"/>
    <w:rsid w:val="00461F1E"/>
    <w:rsid w:val="0046228A"/>
    <w:rsid w:val="004629ED"/>
    <w:rsid w:val="0046415C"/>
    <w:rsid w:val="00464C5F"/>
    <w:rsid w:val="004650E7"/>
    <w:rsid w:val="00466114"/>
    <w:rsid w:val="00466C1E"/>
    <w:rsid w:val="00470F1C"/>
    <w:rsid w:val="00473B3F"/>
    <w:rsid w:val="00474B14"/>
    <w:rsid w:val="00474F6E"/>
    <w:rsid w:val="00476546"/>
    <w:rsid w:val="00477851"/>
    <w:rsid w:val="00481011"/>
    <w:rsid w:val="00481D4C"/>
    <w:rsid w:val="00483BB9"/>
    <w:rsid w:val="00483F9C"/>
    <w:rsid w:val="004864DC"/>
    <w:rsid w:val="004866A6"/>
    <w:rsid w:val="004872C4"/>
    <w:rsid w:val="004876A9"/>
    <w:rsid w:val="00487812"/>
    <w:rsid w:val="00490608"/>
    <w:rsid w:val="00493125"/>
    <w:rsid w:val="00494C1D"/>
    <w:rsid w:val="00494EF2"/>
    <w:rsid w:val="0049548F"/>
    <w:rsid w:val="00495730"/>
    <w:rsid w:val="00496637"/>
    <w:rsid w:val="00497854"/>
    <w:rsid w:val="004A1CF6"/>
    <w:rsid w:val="004A21F6"/>
    <w:rsid w:val="004A2D62"/>
    <w:rsid w:val="004A2F74"/>
    <w:rsid w:val="004A4F3F"/>
    <w:rsid w:val="004A5656"/>
    <w:rsid w:val="004A5D36"/>
    <w:rsid w:val="004A6674"/>
    <w:rsid w:val="004A73AC"/>
    <w:rsid w:val="004B1457"/>
    <w:rsid w:val="004B1D72"/>
    <w:rsid w:val="004B6794"/>
    <w:rsid w:val="004B67BC"/>
    <w:rsid w:val="004B68FD"/>
    <w:rsid w:val="004B7095"/>
    <w:rsid w:val="004B7E54"/>
    <w:rsid w:val="004C00AB"/>
    <w:rsid w:val="004C204D"/>
    <w:rsid w:val="004C2994"/>
    <w:rsid w:val="004C324B"/>
    <w:rsid w:val="004C3AFE"/>
    <w:rsid w:val="004C4E77"/>
    <w:rsid w:val="004C58D5"/>
    <w:rsid w:val="004D2AB7"/>
    <w:rsid w:val="004D4376"/>
    <w:rsid w:val="004D6957"/>
    <w:rsid w:val="004E0DE6"/>
    <w:rsid w:val="004E6156"/>
    <w:rsid w:val="004E6474"/>
    <w:rsid w:val="004E7D36"/>
    <w:rsid w:val="004F16D3"/>
    <w:rsid w:val="004F32EB"/>
    <w:rsid w:val="004F6D0A"/>
    <w:rsid w:val="004F7F08"/>
    <w:rsid w:val="00503861"/>
    <w:rsid w:val="005038A9"/>
    <w:rsid w:val="005048B4"/>
    <w:rsid w:val="00507269"/>
    <w:rsid w:val="0051124E"/>
    <w:rsid w:val="0051138E"/>
    <w:rsid w:val="00511F80"/>
    <w:rsid w:val="00512546"/>
    <w:rsid w:val="005137EF"/>
    <w:rsid w:val="005139AA"/>
    <w:rsid w:val="00513EBD"/>
    <w:rsid w:val="0051443E"/>
    <w:rsid w:val="005148EA"/>
    <w:rsid w:val="00514A97"/>
    <w:rsid w:val="00515501"/>
    <w:rsid w:val="0051690F"/>
    <w:rsid w:val="00517236"/>
    <w:rsid w:val="005176FD"/>
    <w:rsid w:val="005179BD"/>
    <w:rsid w:val="005201AE"/>
    <w:rsid w:val="00521EDE"/>
    <w:rsid w:val="005232FB"/>
    <w:rsid w:val="00523D03"/>
    <w:rsid w:val="005269B7"/>
    <w:rsid w:val="00530039"/>
    <w:rsid w:val="00530995"/>
    <w:rsid w:val="00531074"/>
    <w:rsid w:val="005314EE"/>
    <w:rsid w:val="00533D53"/>
    <w:rsid w:val="00534567"/>
    <w:rsid w:val="005360F8"/>
    <w:rsid w:val="00540008"/>
    <w:rsid w:val="0054023A"/>
    <w:rsid w:val="00540932"/>
    <w:rsid w:val="00540F62"/>
    <w:rsid w:val="00541222"/>
    <w:rsid w:val="00541FA5"/>
    <w:rsid w:val="00542798"/>
    <w:rsid w:val="00542C7B"/>
    <w:rsid w:val="00543E52"/>
    <w:rsid w:val="00543F04"/>
    <w:rsid w:val="00544106"/>
    <w:rsid w:val="00546083"/>
    <w:rsid w:val="00546E65"/>
    <w:rsid w:val="00547CF3"/>
    <w:rsid w:val="00550635"/>
    <w:rsid w:val="00550669"/>
    <w:rsid w:val="00550E87"/>
    <w:rsid w:val="00552FBC"/>
    <w:rsid w:val="00555AD9"/>
    <w:rsid w:val="0055753E"/>
    <w:rsid w:val="005579AA"/>
    <w:rsid w:val="00557C68"/>
    <w:rsid w:val="0056049A"/>
    <w:rsid w:val="00560B40"/>
    <w:rsid w:val="00561941"/>
    <w:rsid w:val="00561B3D"/>
    <w:rsid w:val="005646E0"/>
    <w:rsid w:val="00564984"/>
    <w:rsid w:val="00571868"/>
    <w:rsid w:val="00572AFC"/>
    <w:rsid w:val="00572CC8"/>
    <w:rsid w:val="005731AF"/>
    <w:rsid w:val="005774E1"/>
    <w:rsid w:val="00585286"/>
    <w:rsid w:val="00586C45"/>
    <w:rsid w:val="005903F6"/>
    <w:rsid w:val="00591FB5"/>
    <w:rsid w:val="0059213A"/>
    <w:rsid w:val="00594A54"/>
    <w:rsid w:val="00594DBD"/>
    <w:rsid w:val="00595804"/>
    <w:rsid w:val="0059633F"/>
    <w:rsid w:val="005A48DB"/>
    <w:rsid w:val="005A4A75"/>
    <w:rsid w:val="005B0279"/>
    <w:rsid w:val="005B2028"/>
    <w:rsid w:val="005B2936"/>
    <w:rsid w:val="005B63EC"/>
    <w:rsid w:val="005B6AFC"/>
    <w:rsid w:val="005C2427"/>
    <w:rsid w:val="005C687A"/>
    <w:rsid w:val="005C6F57"/>
    <w:rsid w:val="005C7EE8"/>
    <w:rsid w:val="005D073B"/>
    <w:rsid w:val="005D0D1A"/>
    <w:rsid w:val="005D4AA1"/>
    <w:rsid w:val="005D4D98"/>
    <w:rsid w:val="005D4F84"/>
    <w:rsid w:val="005D6A02"/>
    <w:rsid w:val="005E0334"/>
    <w:rsid w:val="005E2ECD"/>
    <w:rsid w:val="005E481A"/>
    <w:rsid w:val="005F1099"/>
    <w:rsid w:val="005F26B9"/>
    <w:rsid w:val="005F2852"/>
    <w:rsid w:val="005F2B25"/>
    <w:rsid w:val="005F2EDD"/>
    <w:rsid w:val="005F512D"/>
    <w:rsid w:val="005F5D98"/>
    <w:rsid w:val="005F5F03"/>
    <w:rsid w:val="005F6434"/>
    <w:rsid w:val="005F687F"/>
    <w:rsid w:val="005F71F0"/>
    <w:rsid w:val="006008A3"/>
    <w:rsid w:val="00601E1B"/>
    <w:rsid w:val="0060323B"/>
    <w:rsid w:val="00605823"/>
    <w:rsid w:val="00607B1D"/>
    <w:rsid w:val="00610132"/>
    <w:rsid w:val="00612983"/>
    <w:rsid w:val="006138DD"/>
    <w:rsid w:val="00613D0E"/>
    <w:rsid w:val="00614059"/>
    <w:rsid w:val="006220CA"/>
    <w:rsid w:val="00625495"/>
    <w:rsid w:val="0063079A"/>
    <w:rsid w:val="006307D4"/>
    <w:rsid w:val="00630A9C"/>
    <w:rsid w:val="00630E52"/>
    <w:rsid w:val="006311C4"/>
    <w:rsid w:val="0063137F"/>
    <w:rsid w:val="006317BC"/>
    <w:rsid w:val="006349B6"/>
    <w:rsid w:val="00634E5D"/>
    <w:rsid w:val="00635AA8"/>
    <w:rsid w:val="00640FDF"/>
    <w:rsid w:val="0064172C"/>
    <w:rsid w:val="00641D1A"/>
    <w:rsid w:val="006423F1"/>
    <w:rsid w:val="00642FE0"/>
    <w:rsid w:val="00644745"/>
    <w:rsid w:val="00645294"/>
    <w:rsid w:val="006477A2"/>
    <w:rsid w:val="0065082A"/>
    <w:rsid w:val="00655CF6"/>
    <w:rsid w:val="006606E9"/>
    <w:rsid w:val="0066244D"/>
    <w:rsid w:val="00665B36"/>
    <w:rsid w:val="00667082"/>
    <w:rsid w:val="006716E4"/>
    <w:rsid w:val="00671AC4"/>
    <w:rsid w:val="00671B9C"/>
    <w:rsid w:val="006727C9"/>
    <w:rsid w:val="006739AF"/>
    <w:rsid w:val="00673E0B"/>
    <w:rsid w:val="006742BC"/>
    <w:rsid w:val="00674E48"/>
    <w:rsid w:val="00675D18"/>
    <w:rsid w:val="00676084"/>
    <w:rsid w:val="006803D1"/>
    <w:rsid w:val="00683F9F"/>
    <w:rsid w:val="006864B1"/>
    <w:rsid w:val="0069129A"/>
    <w:rsid w:val="0069185E"/>
    <w:rsid w:val="006919F4"/>
    <w:rsid w:val="006945C8"/>
    <w:rsid w:val="0069703A"/>
    <w:rsid w:val="006970C9"/>
    <w:rsid w:val="006A36AA"/>
    <w:rsid w:val="006A4C3F"/>
    <w:rsid w:val="006A6438"/>
    <w:rsid w:val="006A69EB"/>
    <w:rsid w:val="006A708D"/>
    <w:rsid w:val="006B331B"/>
    <w:rsid w:val="006B3877"/>
    <w:rsid w:val="006B65E5"/>
    <w:rsid w:val="006C0530"/>
    <w:rsid w:val="006C0A94"/>
    <w:rsid w:val="006C22FE"/>
    <w:rsid w:val="006C2E51"/>
    <w:rsid w:val="006C416F"/>
    <w:rsid w:val="006C4ED5"/>
    <w:rsid w:val="006C6E6E"/>
    <w:rsid w:val="006D0346"/>
    <w:rsid w:val="006D1078"/>
    <w:rsid w:val="006D2194"/>
    <w:rsid w:val="006D3B68"/>
    <w:rsid w:val="006D472A"/>
    <w:rsid w:val="006D6DD5"/>
    <w:rsid w:val="006D6F82"/>
    <w:rsid w:val="006E0F22"/>
    <w:rsid w:val="006E73CA"/>
    <w:rsid w:val="006F0C65"/>
    <w:rsid w:val="006F1A2E"/>
    <w:rsid w:val="006F3A75"/>
    <w:rsid w:val="006F4D91"/>
    <w:rsid w:val="006F71FA"/>
    <w:rsid w:val="006F7902"/>
    <w:rsid w:val="006F7F1E"/>
    <w:rsid w:val="0070154E"/>
    <w:rsid w:val="00702010"/>
    <w:rsid w:val="00702DFB"/>
    <w:rsid w:val="00704223"/>
    <w:rsid w:val="007060A0"/>
    <w:rsid w:val="00706C31"/>
    <w:rsid w:val="007102B4"/>
    <w:rsid w:val="007108E0"/>
    <w:rsid w:val="007116B2"/>
    <w:rsid w:val="007148B4"/>
    <w:rsid w:val="00715F96"/>
    <w:rsid w:val="00722015"/>
    <w:rsid w:val="00722264"/>
    <w:rsid w:val="0072397D"/>
    <w:rsid w:val="00724C9A"/>
    <w:rsid w:val="0072585E"/>
    <w:rsid w:val="00725948"/>
    <w:rsid w:val="007326E5"/>
    <w:rsid w:val="007327BC"/>
    <w:rsid w:val="00732978"/>
    <w:rsid w:val="00745F4F"/>
    <w:rsid w:val="00746EC6"/>
    <w:rsid w:val="0074778E"/>
    <w:rsid w:val="00747DB4"/>
    <w:rsid w:val="0075043C"/>
    <w:rsid w:val="0075175A"/>
    <w:rsid w:val="0075179A"/>
    <w:rsid w:val="00752052"/>
    <w:rsid w:val="00754B5B"/>
    <w:rsid w:val="00756146"/>
    <w:rsid w:val="007564A0"/>
    <w:rsid w:val="0075712A"/>
    <w:rsid w:val="00761403"/>
    <w:rsid w:val="007644E1"/>
    <w:rsid w:val="00765867"/>
    <w:rsid w:val="00765D1A"/>
    <w:rsid w:val="0076665C"/>
    <w:rsid w:val="00766ED7"/>
    <w:rsid w:val="00767B4C"/>
    <w:rsid w:val="00770AE6"/>
    <w:rsid w:val="0077642A"/>
    <w:rsid w:val="00776480"/>
    <w:rsid w:val="0078166D"/>
    <w:rsid w:val="0078430E"/>
    <w:rsid w:val="0078452A"/>
    <w:rsid w:val="00785F68"/>
    <w:rsid w:val="00786B99"/>
    <w:rsid w:val="00786D72"/>
    <w:rsid w:val="00790A99"/>
    <w:rsid w:val="00792D3F"/>
    <w:rsid w:val="00795053"/>
    <w:rsid w:val="00796BCD"/>
    <w:rsid w:val="007A07B3"/>
    <w:rsid w:val="007A17CB"/>
    <w:rsid w:val="007A298C"/>
    <w:rsid w:val="007A4BB7"/>
    <w:rsid w:val="007B4F8D"/>
    <w:rsid w:val="007B5C07"/>
    <w:rsid w:val="007C1167"/>
    <w:rsid w:val="007C23D3"/>
    <w:rsid w:val="007C5736"/>
    <w:rsid w:val="007C57BB"/>
    <w:rsid w:val="007D0529"/>
    <w:rsid w:val="007D2F4E"/>
    <w:rsid w:val="007D3672"/>
    <w:rsid w:val="007D3E29"/>
    <w:rsid w:val="007D45D8"/>
    <w:rsid w:val="007D73D1"/>
    <w:rsid w:val="007E0128"/>
    <w:rsid w:val="007E02EF"/>
    <w:rsid w:val="007E0E4F"/>
    <w:rsid w:val="007E260D"/>
    <w:rsid w:val="007E27AD"/>
    <w:rsid w:val="007E67A7"/>
    <w:rsid w:val="007E7542"/>
    <w:rsid w:val="007E7623"/>
    <w:rsid w:val="007E7980"/>
    <w:rsid w:val="007E7CA1"/>
    <w:rsid w:val="007E7ECC"/>
    <w:rsid w:val="007F268E"/>
    <w:rsid w:val="007F4597"/>
    <w:rsid w:val="007F67DA"/>
    <w:rsid w:val="00802943"/>
    <w:rsid w:val="0080301D"/>
    <w:rsid w:val="00807914"/>
    <w:rsid w:val="00810884"/>
    <w:rsid w:val="0081387D"/>
    <w:rsid w:val="00813BCC"/>
    <w:rsid w:val="00815A6D"/>
    <w:rsid w:val="00816610"/>
    <w:rsid w:val="00817319"/>
    <w:rsid w:val="00817A12"/>
    <w:rsid w:val="00820A4B"/>
    <w:rsid w:val="00821CCE"/>
    <w:rsid w:val="0082697F"/>
    <w:rsid w:val="00830FCD"/>
    <w:rsid w:val="008338B1"/>
    <w:rsid w:val="008341E8"/>
    <w:rsid w:val="00835212"/>
    <w:rsid w:val="00836C6C"/>
    <w:rsid w:val="00841F11"/>
    <w:rsid w:val="00842BA2"/>
    <w:rsid w:val="008435B4"/>
    <w:rsid w:val="00843DA5"/>
    <w:rsid w:val="00845B55"/>
    <w:rsid w:val="00846AC5"/>
    <w:rsid w:val="00850B13"/>
    <w:rsid w:val="00850CE7"/>
    <w:rsid w:val="008524E4"/>
    <w:rsid w:val="00852C11"/>
    <w:rsid w:val="00853A4B"/>
    <w:rsid w:val="00853F6D"/>
    <w:rsid w:val="008546CB"/>
    <w:rsid w:val="00855315"/>
    <w:rsid w:val="00855A94"/>
    <w:rsid w:val="00860A18"/>
    <w:rsid w:val="00862384"/>
    <w:rsid w:val="00864AA2"/>
    <w:rsid w:val="00865A75"/>
    <w:rsid w:val="00866B6D"/>
    <w:rsid w:val="00867B26"/>
    <w:rsid w:val="0087129F"/>
    <w:rsid w:val="008742E1"/>
    <w:rsid w:val="00874968"/>
    <w:rsid w:val="00875771"/>
    <w:rsid w:val="008775ED"/>
    <w:rsid w:val="00880EF7"/>
    <w:rsid w:val="00881CA9"/>
    <w:rsid w:val="008839C0"/>
    <w:rsid w:val="00884134"/>
    <w:rsid w:val="00885607"/>
    <w:rsid w:val="00885F01"/>
    <w:rsid w:val="00890AC1"/>
    <w:rsid w:val="00891AB8"/>
    <w:rsid w:val="00893D13"/>
    <w:rsid w:val="008958EB"/>
    <w:rsid w:val="00896950"/>
    <w:rsid w:val="008A2432"/>
    <w:rsid w:val="008A2824"/>
    <w:rsid w:val="008A3ECE"/>
    <w:rsid w:val="008A50C5"/>
    <w:rsid w:val="008A5674"/>
    <w:rsid w:val="008A5B4A"/>
    <w:rsid w:val="008A6122"/>
    <w:rsid w:val="008A7231"/>
    <w:rsid w:val="008A7865"/>
    <w:rsid w:val="008A79E7"/>
    <w:rsid w:val="008B0B1A"/>
    <w:rsid w:val="008B0DC9"/>
    <w:rsid w:val="008B0E44"/>
    <w:rsid w:val="008B2241"/>
    <w:rsid w:val="008B2312"/>
    <w:rsid w:val="008B3F18"/>
    <w:rsid w:val="008B5654"/>
    <w:rsid w:val="008C1083"/>
    <w:rsid w:val="008C36DE"/>
    <w:rsid w:val="008C3DD3"/>
    <w:rsid w:val="008C5D09"/>
    <w:rsid w:val="008C7097"/>
    <w:rsid w:val="008C7A94"/>
    <w:rsid w:val="008D090C"/>
    <w:rsid w:val="008D2DE1"/>
    <w:rsid w:val="008D3F28"/>
    <w:rsid w:val="008D4E31"/>
    <w:rsid w:val="008D4E3E"/>
    <w:rsid w:val="008D5C17"/>
    <w:rsid w:val="008D62FC"/>
    <w:rsid w:val="008D6EC8"/>
    <w:rsid w:val="008E197B"/>
    <w:rsid w:val="008E1D3E"/>
    <w:rsid w:val="008E2E1B"/>
    <w:rsid w:val="008E45A0"/>
    <w:rsid w:val="008E5079"/>
    <w:rsid w:val="008E6ABD"/>
    <w:rsid w:val="008E746D"/>
    <w:rsid w:val="008F1222"/>
    <w:rsid w:val="008F35D5"/>
    <w:rsid w:val="008F41DD"/>
    <w:rsid w:val="008F42B8"/>
    <w:rsid w:val="008F5D30"/>
    <w:rsid w:val="008F6B53"/>
    <w:rsid w:val="008F6D2C"/>
    <w:rsid w:val="008F6FFE"/>
    <w:rsid w:val="00901ED4"/>
    <w:rsid w:val="00903D0B"/>
    <w:rsid w:val="009046CD"/>
    <w:rsid w:val="00904A56"/>
    <w:rsid w:val="009050EA"/>
    <w:rsid w:val="00905FCD"/>
    <w:rsid w:val="009063A6"/>
    <w:rsid w:val="00906BD5"/>
    <w:rsid w:val="009105CA"/>
    <w:rsid w:val="00912E8C"/>
    <w:rsid w:val="00915B27"/>
    <w:rsid w:val="0091765C"/>
    <w:rsid w:val="0092079B"/>
    <w:rsid w:val="00920C00"/>
    <w:rsid w:val="0092122B"/>
    <w:rsid w:val="00921425"/>
    <w:rsid w:val="009214D0"/>
    <w:rsid w:val="009217EB"/>
    <w:rsid w:val="00921AB7"/>
    <w:rsid w:val="00922CF1"/>
    <w:rsid w:val="0092357D"/>
    <w:rsid w:val="009271EA"/>
    <w:rsid w:val="00932014"/>
    <w:rsid w:val="00933B77"/>
    <w:rsid w:val="00935089"/>
    <w:rsid w:val="00935556"/>
    <w:rsid w:val="00937681"/>
    <w:rsid w:val="00940DB8"/>
    <w:rsid w:val="0094194B"/>
    <w:rsid w:val="009426ED"/>
    <w:rsid w:val="0094367B"/>
    <w:rsid w:val="0094462D"/>
    <w:rsid w:val="009471C3"/>
    <w:rsid w:val="009515DE"/>
    <w:rsid w:val="0095172B"/>
    <w:rsid w:val="009518D6"/>
    <w:rsid w:val="0095388F"/>
    <w:rsid w:val="00954BDE"/>
    <w:rsid w:val="00954E8D"/>
    <w:rsid w:val="0095539E"/>
    <w:rsid w:val="009555BF"/>
    <w:rsid w:val="009567D1"/>
    <w:rsid w:val="00956A3A"/>
    <w:rsid w:val="00962F08"/>
    <w:rsid w:val="009632A0"/>
    <w:rsid w:val="00963712"/>
    <w:rsid w:val="00963A8F"/>
    <w:rsid w:val="00963FEF"/>
    <w:rsid w:val="00964936"/>
    <w:rsid w:val="00966462"/>
    <w:rsid w:val="00966BA8"/>
    <w:rsid w:val="00970C3A"/>
    <w:rsid w:val="00970FE4"/>
    <w:rsid w:val="00971BE7"/>
    <w:rsid w:val="00974A90"/>
    <w:rsid w:val="0097524F"/>
    <w:rsid w:val="0097675C"/>
    <w:rsid w:val="00980AFA"/>
    <w:rsid w:val="009868BF"/>
    <w:rsid w:val="00986B9E"/>
    <w:rsid w:val="00990C55"/>
    <w:rsid w:val="00992A55"/>
    <w:rsid w:val="00993FC7"/>
    <w:rsid w:val="009A42FD"/>
    <w:rsid w:val="009A545C"/>
    <w:rsid w:val="009B2449"/>
    <w:rsid w:val="009B2DA2"/>
    <w:rsid w:val="009B310A"/>
    <w:rsid w:val="009B3546"/>
    <w:rsid w:val="009B55A1"/>
    <w:rsid w:val="009B59BA"/>
    <w:rsid w:val="009C050E"/>
    <w:rsid w:val="009C0CDC"/>
    <w:rsid w:val="009C1A72"/>
    <w:rsid w:val="009C1C32"/>
    <w:rsid w:val="009C2420"/>
    <w:rsid w:val="009C4AF1"/>
    <w:rsid w:val="009C6A93"/>
    <w:rsid w:val="009C7767"/>
    <w:rsid w:val="009D142E"/>
    <w:rsid w:val="009D198E"/>
    <w:rsid w:val="009D392B"/>
    <w:rsid w:val="009D5694"/>
    <w:rsid w:val="009D58B0"/>
    <w:rsid w:val="009E03FB"/>
    <w:rsid w:val="009E05D8"/>
    <w:rsid w:val="009E0612"/>
    <w:rsid w:val="009E38C1"/>
    <w:rsid w:val="009E4E7C"/>
    <w:rsid w:val="009E5F9A"/>
    <w:rsid w:val="009F1DDA"/>
    <w:rsid w:val="009F2889"/>
    <w:rsid w:val="009F413F"/>
    <w:rsid w:val="009F5963"/>
    <w:rsid w:val="009F5964"/>
    <w:rsid w:val="00A00A11"/>
    <w:rsid w:val="00A00E44"/>
    <w:rsid w:val="00A125DA"/>
    <w:rsid w:val="00A12663"/>
    <w:rsid w:val="00A12747"/>
    <w:rsid w:val="00A14910"/>
    <w:rsid w:val="00A15709"/>
    <w:rsid w:val="00A22478"/>
    <w:rsid w:val="00A22E0D"/>
    <w:rsid w:val="00A25F8D"/>
    <w:rsid w:val="00A30971"/>
    <w:rsid w:val="00A31EB9"/>
    <w:rsid w:val="00A3298C"/>
    <w:rsid w:val="00A32C28"/>
    <w:rsid w:val="00A33EF7"/>
    <w:rsid w:val="00A3477B"/>
    <w:rsid w:val="00A34B1E"/>
    <w:rsid w:val="00A35BDE"/>
    <w:rsid w:val="00A410CA"/>
    <w:rsid w:val="00A4181F"/>
    <w:rsid w:val="00A4209F"/>
    <w:rsid w:val="00A4263C"/>
    <w:rsid w:val="00A46E4C"/>
    <w:rsid w:val="00A47336"/>
    <w:rsid w:val="00A47F9D"/>
    <w:rsid w:val="00A514BA"/>
    <w:rsid w:val="00A5212F"/>
    <w:rsid w:val="00A52398"/>
    <w:rsid w:val="00A52465"/>
    <w:rsid w:val="00A5290F"/>
    <w:rsid w:val="00A54C33"/>
    <w:rsid w:val="00A55296"/>
    <w:rsid w:val="00A561F7"/>
    <w:rsid w:val="00A56338"/>
    <w:rsid w:val="00A5656E"/>
    <w:rsid w:val="00A60FE8"/>
    <w:rsid w:val="00A617B1"/>
    <w:rsid w:val="00A61D54"/>
    <w:rsid w:val="00A66FAE"/>
    <w:rsid w:val="00A67C16"/>
    <w:rsid w:val="00A67E82"/>
    <w:rsid w:val="00A71735"/>
    <w:rsid w:val="00A75037"/>
    <w:rsid w:val="00A80FA6"/>
    <w:rsid w:val="00A836D1"/>
    <w:rsid w:val="00A85835"/>
    <w:rsid w:val="00A86BC4"/>
    <w:rsid w:val="00A8724E"/>
    <w:rsid w:val="00A920EB"/>
    <w:rsid w:val="00A92E45"/>
    <w:rsid w:val="00A92F26"/>
    <w:rsid w:val="00A93AB5"/>
    <w:rsid w:val="00A95992"/>
    <w:rsid w:val="00A966B1"/>
    <w:rsid w:val="00A975CD"/>
    <w:rsid w:val="00AA2320"/>
    <w:rsid w:val="00AA2945"/>
    <w:rsid w:val="00AA2F66"/>
    <w:rsid w:val="00AA66C5"/>
    <w:rsid w:val="00AA7891"/>
    <w:rsid w:val="00AB2977"/>
    <w:rsid w:val="00AB4A7F"/>
    <w:rsid w:val="00AB5453"/>
    <w:rsid w:val="00AB60E4"/>
    <w:rsid w:val="00AB6A0F"/>
    <w:rsid w:val="00AB7446"/>
    <w:rsid w:val="00AC077B"/>
    <w:rsid w:val="00AC181E"/>
    <w:rsid w:val="00AC263E"/>
    <w:rsid w:val="00AC4A0B"/>
    <w:rsid w:val="00AC4F4D"/>
    <w:rsid w:val="00AC6723"/>
    <w:rsid w:val="00AC73A8"/>
    <w:rsid w:val="00AD1CD7"/>
    <w:rsid w:val="00AD32CF"/>
    <w:rsid w:val="00AD3F1A"/>
    <w:rsid w:val="00AD57D6"/>
    <w:rsid w:val="00AD6742"/>
    <w:rsid w:val="00AD6FE6"/>
    <w:rsid w:val="00AD72BE"/>
    <w:rsid w:val="00AD7841"/>
    <w:rsid w:val="00AE1AB8"/>
    <w:rsid w:val="00AE4B09"/>
    <w:rsid w:val="00AE4D30"/>
    <w:rsid w:val="00AE5440"/>
    <w:rsid w:val="00AE552D"/>
    <w:rsid w:val="00AE645E"/>
    <w:rsid w:val="00AE6C28"/>
    <w:rsid w:val="00AE719C"/>
    <w:rsid w:val="00AE78A4"/>
    <w:rsid w:val="00AF1838"/>
    <w:rsid w:val="00AF24CE"/>
    <w:rsid w:val="00AF481E"/>
    <w:rsid w:val="00AF6F4F"/>
    <w:rsid w:val="00AF728E"/>
    <w:rsid w:val="00B00BF8"/>
    <w:rsid w:val="00B02F92"/>
    <w:rsid w:val="00B04472"/>
    <w:rsid w:val="00B0623C"/>
    <w:rsid w:val="00B06F3C"/>
    <w:rsid w:val="00B1302C"/>
    <w:rsid w:val="00B13280"/>
    <w:rsid w:val="00B1409D"/>
    <w:rsid w:val="00B16743"/>
    <w:rsid w:val="00B2057A"/>
    <w:rsid w:val="00B2337B"/>
    <w:rsid w:val="00B25B37"/>
    <w:rsid w:val="00B25C7A"/>
    <w:rsid w:val="00B25F6B"/>
    <w:rsid w:val="00B30FBA"/>
    <w:rsid w:val="00B31073"/>
    <w:rsid w:val="00B310DC"/>
    <w:rsid w:val="00B32A15"/>
    <w:rsid w:val="00B32A24"/>
    <w:rsid w:val="00B343DE"/>
    <w:rsid w:val="00B346E8"/>
    <w:rsid w:val="00B35441"/>
    <w:rsid w:val="00B434C1"/>
    <w:rsid w:val="00B45F0A"/>
    <w:rsid w:val="00B46FD3"/>
    <w:rsid w:val="00B47248"/>
    <w:rsid w:val="00B4790F"/>
    <w:rsid w:val="00B507D3"/>
    <w:rsid w:val="00B5126A"/>
    <w:rsid w:val="00B52F07"/>
    <w:rsid w:val="00B532A1"/>
    <w:rsid w:val="00B53B37"/>
    <w:rsid w:val="00B54A48"/>
    <w:rsid w:val="00B5638D"/>
    <w:rsid w:val="00B60546"/>
    <w:rsid w:val="00B61048"/>
    <w:rsid w:val="00B614D2"/>
    <w:rsid w:val="00B6176A"/>
    <w:rsid w:val="00B62239"/>
    <w:rsid w:val="00B625A6"/>
    <w:rsid w:val="00B638A7"/>
    <w:rsid w:val="00B63AE4"/>
    <w:rsid w:val="00B63DAF"/>
    <w:rsid w:val="00B6406D"/>
    <w:rsid w:val="00B64ECB"/>
    <w:rsid w:val="00B72EE0"/>
    <w:rsid w:val="00B73985"/>
    <w:rsid w:val="00B74354"/>
    <w:rsid w:val="00B7488C"/>
    <w:rsid w:val="00B771F6"/>
    <w:rsid w:val="00B809C2"/>
    <w:rsid w:val="00B83FFA"/>
    <w:rsid w:val="00B857C3"/>
    <w:rsid w:val="00B859D8"/>
    <w:rsid w:val="00B85C2F"/>
    <w:rsid w:val="00B85D3A"/>
    <w:rsid w:val="00B87ED1"/>
    <w:rsid w:val="00B87EFB"/>
    <w:rsid w:val="00B952D0"/>
    <w:rsid w:val="00B95604"/>
    <w:rsid w:val="00B956D4"/>
    <w:rsid w:val="00B976FD"/>
    <w:rsid w:val="00BA1116"/>
    <w:rsid w:val="00BA1BA4"/>
    <w:rsid w:val="00BA1E7F"/>
    <w:rsid w:val="00BA4525"/>
    <w:rsid w:val="00BB0611"/>
    <w:rsid w:val="00BB0B29"/>
    <w:rsid w:val="00BB1321"/>
    <w:rsid w:val="00BB1862"/>
    <w:rsid w:val="00BB1E36"/>
    <w:rsid w:val="00BB275D"/>
    <w:rsid w:val="00BB3536"/>
    <w:rsid w:val="00BB48F6"/>
    <w:rsid w:val="00BB59A3"/>
    <w:rsid w:val="00BB63F9"/>
    <w:rsid w:val="00BB6FB6"/>
    <w:rsid w:val="00BB75C8"/>
    <w:rsid w:val="00BC14AC"/>
    <w:rsid w:val="00BC1601"/>
    <w:rsid w:val="00BC2318"/>
    <w:rsid w:val="00BC295E"/>
    <w:rsid w:val="00BC2A48"/>
    <w:rsid w:val="00BC65D5"/>
    <w:rsid w:val="00BC666F"/>
    <w:rsid w:val="00BC7EC3"/>
    <w:rsid w:val="00BD1B34"/>
    <w:rsid w:val="00BD1DDF"/>
    <w:rsid w:val="00BD2E1C"/>
    <w:rsid w:val="00BD44CC"/>
    <w:rsid w:val="00BD4C7B"/>
    <w:rsid w:val="00BD60B5"/>
    <w:rsid w:val="00BD7302"/>
    <w:rsid w:val="00BE0F85"/>
    <w:rsid w:val="00BE14CE"/>
    <w:rsid w:val="00BE37FA"/>
    <w:rsid w:val="00BE62BB"/>
    <w:rsid w:val="00BE67B6"/>
    <w:rsid w:val="00BE7549"/>
    <w:rsid w:val="00BE7D4C"/>
    <w:rsid w:val="00BF2568"/>
    <w:rsid w:val="00BF5912"/>
    <w:rsid w:val="00BF61D3"/>
    <w:rsid w:val="00C008B8"/>
    <w:rsid w:val="00C0329C"/>
    <w:rsid w:val="00C04DC9"/>
    <w:rsid w:val="00C0734F"/>
    <w:rsid w:val="00C07D67"/>
    <w:rsid w:val="00C10589"/>
    <w:rsid w:val="00C10E60"/>
    <w:rsid w:val="00C129CF"/>
    <w:rsid w:val="00C1381E"/>
    <w:rsid w:val="00C13FD2"/>
    <w:rsid w:val="00C14013"/>
    <w:rsid w:val="00C150DF"/>
    <w:rsid w:val="00C1524C"/>
    <w:rsid w:val="00C156E1"/>
    <w:rsid w:val="00C1724B"/>
    <w:rsid w:val="00C17AD0"/>
    <w:rsid w:val="00C17FE0"/>
    <w:rsid w:val="00C21248"/>
    <w:rsid w:val="00C222E5"/>
    <w:rsid w:val="00C232F8"/>
    <w:rsid w:val="00C23C32"/>
    <w:rsid w:val="00C25390"/>
    <w:rsid w:val="00C25B11"/>
    <w:rsid w:val="00C26E6C"/>
    <w:rsid w:val="00C27447"/>
    <w:rsid w:val="00C30160"/>
    <w:rsid w:val="00C3279A"/>
    <w:rsid w:val="00C35717"/>
    <w:rsid w:val="00C35C7F"/>
    <w:rsid w:val="00C36599"/>
    <w:rsid w:val="00C378D9"/>
    <w:rsid w:val="00C43264"/>
    <w:rsid w:val="00C43E95"/>
    <w:rsid w:val="00C44577"/>
    <w:rsid w:val="00C44BBB"/>
    <w:rsid w:val="00C45D96"/>
    <w:rsid w:val="00C47FF5"/>
    <w:rsid w:val="00C52790"/>
    <w:rsid w:val="00C53DD8"/>
    <w:rsid w:val="00C5549F"/>
    <w:rsid w:val="00C5566E"/>
    <w:rsid w:val="00C55F1F"/>
    <w:rsid w:val="00C56635"/>
    <w:rsid w:val="00C57FAB"/>
    <w:rsid w:val="00C62194"/>
    <w:rsid w:val="00C6347C"/>
    <w:rsid w:val="00C64FB8"/>
    <w:rsid w:val="00C661E6"/>
    <w:rsid w:val="00C66F30"/>
    <w:rsid w:val="00C67255"/>
    <w:rsid w:val="00C703C1"/>
    <w:rsid w:val="00C72C21"/>
    <w:rsid w:val="00C762C3"/>
    <w:rsid w:val="00C77666"/>
    <w:rsid w:val="00C77E9D"/>
    <w:rsid w:val="00C81FA5"/>
    <w:rsid w:val="00C85385"/>
    <w:rsid w:val="00C85E2A"/>
    <w:rsid w:val="00C86791"/>
    <w:rsid w:val="00C9024C"/>
    <w:rsid w:val="00C90E8F"/>
    <w:rsid w:val="00C914E2"/>
    <w:rsid w:val="00C93252"/>
    <w:rsid w:val="00C93A63"/>
    <w:rsid w:val="00C9489F"/>
    <w:rsid w:val="00C969A6"/>
    <w:rsid w:val="00C96D13"/>
    <w:rsid w:val="00C97CBD"/>
    <w:rsid w:val="00CA089D"/>
    <w:rsid w:val="00CA7D29"/>
    <w:rsid w:val="00CB07DD"/>
    <w:rsid w:val="00CB23CE"/>
    <w:rsid w:val="00CB4E7F"/>
    <w:rsid w:val="00CB7BB4"/>
    <w:rsid w:val="00CC0A89"/>
    <w:rsid w:val="00CC1195"/>
    <w:rsid w:val="00CC4C18"/>
    <w:rsid w:val="00CC54E8"/>
    <w:rsid w:val="00CC6B83"/>
    <w:rsid w:val="00CC6CA1"/>
    <w:rsid w:val="00CC7412"/>
    <w:rsid w:val="00CC7A0E"/>
    <w:rsid w:val="00CD33EB"/>
    <w:rsid w:val="00CD631D"/>
    <w:rsid w:val="00CD6A08"/>
    <w:rsid w:val="00CE1B39"/>
    <w:rsid w:val="00CE3BDE"/>
    <w:rsid w:val="00CE5ACE"/>
    <w:rsid w:val="00CE610A"/>
    <w:rsid w:val="00CE709A"/>
    <w:rsid w:val="00CE7C8C"/>
    <w:rsid w:val="00CF059A"/>
    <w:rsid w:val="00CF078E"/>
    <w:rsid w:val="00CF1386"/>
    <w:rsid w:val="00CF1983"/>
    <w:rsid w:val="00CF6859"/>
    <w:rsid w:val="00CF6E8F"/>
    <w:rsid w:val="00D0007C"/>
    <w:rsid w:val="00D003DE"/>
    <w:rsid w:val="00D0055B"/>
    <w:rsid w:val="00D0191E"/>
    <w:rsid w:val="00D02547"/>
    <w:rsid w:val="00D02578"/>
    <w:rsid w:val="00D0291A"/>
    <w:rsid w:val="00D02C15"/>
    <w:rsid w:val="00D07405"/>
    <w:rsid w:val="00D14BE0"/>
    <w:rsid w:val="00D1623D"/>
    <w:rsid w:val="00D173E9"/>
    <w:rsid w:val="00D176AB"/>
    <w:rsid w:val="00D21C1F"/>
    <w:rsid w:val="00D23508"/>
    <w:rsid w:val="00D23FFC"/>
    <w:rsid w:val="00D2501B"/>
    <w:rsid w:val="00D26604"/>
    <w:rsid w:val="00D273BD"/>
    <w:rsid w:val="00D274E6"/>
    <w:rsid w:val="00D27E5A"/>
    <w:rsid w:val="00D3095C"/>
    <w:rsid w:val="00D30B73"/>
    <w:rsid w:val="00D30E09"/>
    <w:rsid w:val="00D3148F"/>
    <w:rsid w:val="00D320C9"/>
    <w:rsid w:val="00D3217F"/>
    <w:rsid w:val="00D32BFE"/>
    <w:rsid w:val="00D40B98"/>
    <w:rsid w:val="00D41009"/>
    <w:rsid w:val="00D41639"/>
    <w:rsid w:val="00D41A8F"/>
    <w:rsid w:val="00D45EBF"/>
    <w:rsid w:val="00D46742"/>
    <w:rsid w:val="00D52407"/>
    <w:rsid w:val="00D52E5E"/>
    <w:rsid w:val="00D534CA"/>
    <w:rsid w:val="00D53F26"/>
    <w:rsid w:val="00D5795D"/>
    <w:rsid w:val="00D57B7B"/>
    <w:rsid w:val="00D6151C"/>
    <w:rsid w:val="00D62BF9"/>
    <w:rsid w:val="00D631E1"/>
    <w:rsid w:val="00D63650"/>
    <w:rsid w:val="00D676F5"/>
    <w:rsid w:val="00D70384"/>
    <w:rsid w:val="00D76044"/>
    <w:rsid w:val="00D7673D"/>
    <w:rsid w:val="00D82A10"/>
    <w:rsid w:val="00D82DE4"/>
    <w:rsid w:val="00D83A36"/>
    <w:rsid w:val="00D841D6"/>
    <w:rsid w:val="00D84E61"/>
    <w:rsid w:val="00D86C6A"/>
    <w:rsid w:val="00D92A4D"/>
    <w:rsid w:val="00D93A59"/>
    <w:rsid w:val="00D93F08"/>
    <w:rsid w:val="00D94525"/>
    <w:rsid w:val="00D9487D"/>
    <w:rsid w:val="00D94D8D"/>
    <w:rsid w:val="00D96C4B"/>
    <w:rsid w:val="00D97F7C"/>
    <w:rsid w:val="00DA0278"/>
    <w:rsid w:val="00DA081C"/>
    <w:rsid w:val="00DA08A4"/>
    <w:rsid w:val="00DA0B16"/>
    <w:rsid w:val="00DA166F"/>
    <w:rsid w:val="00DA1809"/>
    <w:rsid w:val="00DA4333"/>
    <w:rsid w:val="00DA6395"/>
    <w:rsid w:val="00DA7778"/>
    <w:rsid w:val="00DA7E47"/>
    <w:rsid w:val="00DB1303"/>
    <w:rsid w:val="00DB2F17"/>
    <w:rsid w:val="00DB4116"/>
    <w:rsid w:val="00DB5CF1"/>
    <w:rsid w:val="00DB620F"/>
    <w:rsid w:val="00DB6AB3"/>
    <w:rsid w:val="00DB7577"/>
    <w:rsid w:val="00DC12C0"/>
    <w:rsid w:val="00DC1D99"/>
    <w:rsid w:val="00DC39A9"/>
    <w:rsid w:val="00DC4494"/>
    <w:rsid w:val="00DC66D2"/>
    <w:rsid w:val="00DD0385"/>
    <w:rsid w:val="00DD236F"/>
    <w:rsid w:val="00DD6F04"/>
    <w:rsid w:val="00DE0EEF"/>
    <w:rsid w:val="00DE3AA0"/>
    <w:rsid w:val="00DE3F0F"/>
    <w:rsid w:val="00DE66E8"/>
    <w:rsid w:val="00DF21A5"/>
    <w:rsid w:val="00DF4FB6"/>
    <w:rsid w:val="00E00DF5"/>
    <w:rsid w:val="00E01E56"/>
    <w:rsid w:val="00E02143"/>
    <w:rsid w:val="00E0237F"/>
    <w:rsid w:val="00E06F81"/>
    <w:rsid w:val="00E10263"/>
    <w:rsid w:val="00E14DC1"/>
    <w:rsid w:val="00E2080F"/>
    <w:rsid w:val="00E2095A"/>
    <w:rsid w:val="00E234B1"/>
    <w:rsid w:val="00E24E66"/>
    <w:rsid w:val="00E2789A"/>
    <w:rsid w:val="00E3051D"/>
    <w:rsid w:val="00E3497C"/>
    <w:rsid w:val="00E3678A"/>
    <w:rsid w:val="00E37EC1"/>
    <w:rsid w:val="00E40381"/>
    <w:rsid w:val="00E403B9"/>
    <w:rsid w:val="00E41D54"/>
    <w:rsid w:val="00E4272D"/>
    <w:rsid w:val="00E42B6E"/>
    <w:rsid w:val="00E43C25"/>
    <w:rsid w:val="00E44F40"/>
    <w:rsid w:val="00E464CD"/>
    <w:rsid w:val="00E47D19"/>
    <w:rsid w:val="00E52C57"/>
    <w:rsid w:val="00E52EB2"/>
    <w:rsid w:val="00E55ED3"/>
    <w:rsid w:val="00E56B76"/>
    <w:rsid w:val="00E60230"/>
    <w:rsid w:val="00E609FB"/>
    <w:rsid w:val="00E63067"/>
    <w:rsid w:val="00E67B1C"/>
    <w:rsid w:val="00E7169E"/>
    <w:rsid w:val="00E739BE"/>
    <w:rsid w:val="00E742A8"/>
    <w:rsid w:val="00E75125"/>
    <w:rsid w:val="00E7550B"/>
    <w:rsid w:val="00E76918"/>
    <w:rsid w:val="00E77249"/>
    <w:rsid w:val="00E83B53"/>
    <w:rsid w:val="00E83F6B"/>
    <w:rsid w:val="00E852DD"/>
    <w:rsid w:val="00E87428"/>
    <w:rsid w:val="00E90563"/>
    <w:rsid w:val="00E91D9E"/>
    <w:rsid w:val="00E935C6"/>
    <w:rsid w:val="00E95D2A"/>
    <w:rsid w:val="00EA0D4F"/>
    <w:rsid w:val="00EA0ED1"/>
    <w:rsid w:val="00EA156D"/>
    <w:rsid w:val="00EA1722"/>
    <w:rsid w:val="00EA3466"/>
    <w:rsid w:val="00EB0405"/>
    <w:rsid w:val="00EB125D"/>
    <w:rsid w:val="00EB3460"/>
    <w:rsid w:val="00EB3674"/>
    <w:rsid w:val="00EB383E"/>
    <w:rsid w:val="00EB5FD6"/>
    <w:rsid w:val="00EB6C29"/>
    <w:rsid w:val="00EC0B12"/>
    <w:rsid w:val="00EC1323"/>
    <w:rsid w:val="00EC3198"/>
    <w:rsid w:val="00EC42F1"/>
    <w:rsid w:val="00EC741C"/>
    <w:rsid w:val="00EC780F"/>
    <w:rsid w:val="00ED0F58"/>
    <w:rsid w:val="00ED106F"/>
    <w:rsid w:val="00ED3F01"/>
    <w:rsid w:val="00ED6930"/>
    <w:rsid w:val="00ED733D"/>
    <w:rsid w:val="00ED7F93"/>
    <w:rsid w:val="00EE04FF"/>
    <w:rsid w:val="00EE40A0"/>
    <w:rsid w:val="00EE5F54"/>
    <w:rsid w:val="00EE61C6"/>
    <w:rsid w:val="00EE77C0"/>
    <w:rsid w:val="00EF099B"/>
    <w:rsid w:val="00EF0AED"/>
    <w:rsid w:val="00EF1EA6"/>
    <w:rsid w:val="00EF2DD8"/>
    <w:rsid w:val="00EF3436"/>
    <w:rsid w:val="00EF3C50"/>
    <w:rsid w:val="00EF46E6"/>
    <w:rsid w:val="00EF48C4"/>
    <w:rsid w:val="00EF6E9B"/>
    <w:rsid w:val="00EF7581"/>
    <w:rsid w:val="00F00937"/>
    <w:rsid w:val="00F02924"/>
    <w:rsid w:val="00F0405B"/>
    <w:rsid w:val="00F04637"/>
    <w:rsid w:val="00F1257D"/>
    <w:rsid w:val="00F15CD8"/>
    <w:rsid w:val="00F15D79"/>
    <w:rsid w:val="00F20DAE"/>
    <w:rsid w:val="00F21A19"/>
    <w:rsid w:val="00F21DA8"/>
    <w:rsid w:val="00F22B56"/>
    <w:rsid w:val="00F275FA"/>
    <w:rsid w:val="00F31674"/>
    <w:rsid w:val="00F32D22"/>
    <w:rsid w:val="00F33C4B"/>
    <w:rsid w:val="00F36FA6"/>
    <w:rsid w:val="00F37C35"/>
    <w:rsid w:val="00F37DEE"/>
    <w:rsid w:val="00F44B79"/>
    <w:rsid w:val="00F4741E"/>
    <w:rsid w:val="00F47ED5"/>
    <w:rsid w:val="00F50F65"/>
    <w:rsid w:val="00F52BDF"/>
    <w:rsid w:val="00F560E5"/>
    <w:rsid w:val="00F569B6"/>
    <w:rsid w:val="00F60C1D"/>
    <w:rsid w:val="00F617F4"/>
    <w:rsid w:val="00F622CA"/>
    <w:rsid w:val="00F63EF8"/>
    <w:rsid w:val="00F6437E"/>
    <w:rsid w:val="00F644CC"/>
    <w:rsid w:val="00F649CC"/>
    <w:rsid w:val="00F64EBD"/>
    <w:rsid w:val="00F6504F"/>
    <w:rsid w:val="00F6659B"/>
    <w:rsid w:val="00F71751"/>
    <w:rsid w:val="00F73C9A"/>
    <w:rsid w:val="00F74D5A"/>
    <w:rsid w:val="00F74F68"/>
    <w:rsid w:val="00F74F95"/>
    <w:rsid w:val="00F750E7"/>
    <w:rsid w:val="00F7530D"/>
    <w:rsid w:val="00F80DE3"/>
    <w:rsid w:val="00F81050"/>
    <w:rsid w:val="00F847E6"/>
    <w:rsid w:val="00F862EF"/>
    <w:rsid w:val="00F86FFD"/>
    <w:rsid w:val="00F9032E"/>
    <w:rsid w:val="00F917F1"/>
    <w:rsid w:val="00F93E18"/>
    <w:rsid w:val="00F9530E"/>
    <w:rsid w:val="00F956CC"/>
    <w:rsid w:val="00F95B39"/>
    <w:rsid w:val="00F972C9"/>
    <w:rsid w:val="00FA62B1"/>
    <w:rsid w:val="00FB0ED1"/>
    <w:rsid w:val="00FB1A2B"/>
    <w:rsid w:val="00FB3357"/>
    <w:rsid w:val="00FB3A4D"/>
    <w:rsid w:val="00FB3D60"/>
    <w:rsid w:val="00FB6237"/>
    <w:rsid w:val="00FB6343"/>
    <w:rsid w:val="00FB7055"/>
    <w:rsid w:val="00FC3A54"/>
    <w:rsid w:val="00FC4C0D"/>
    <w:rsid w:val="00FC55A5"/>
    <w:rsid w:val="00FC632C"/>
    <w:rsid w:val="00FC7D59"/>
    <w:rsid w:val="00FD0FD1"/>
    <w:rsid w:val="00FD1992"/>
    <w:rsid w:val="00FD48D8"/>
    <w:rsid w:val="00FD5A6D"/>
    <w:rsid w:val="00FD658A"/>
    <w:rsid w:val="00FE0FE9"/>
    <w:rsid w:val="00FE1472"/>
    <w:rsid w:val="00FE2AFA"/>
    <w:rsid w:val="00FE4679"/>
    <w:rsid w:val="00FE472D"/>
    <w:rsid w:val="00FE4CCF"/>
    <w:rsid w:val="00FE5753"/>
    <w:rsid w:val="00FE5AB6"/>
    <w:rsid w:val="00FE6971"/>
    <w:rsid w:val="00FE7B5A"/>
    <w:rsid w:val="00FF2AB1"/>
    <w:rsid w:val="00FF2ACF"/>
    <w:rsid w:val="00FF4C85"/>
    <w:rsid w:val="00FF56E7"/>
    <w:rsid w:val="00FF6ABA"/>
    <w:rsid w:val="00FF742D"/>
    <w:rsid w:val="00FF7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E59E13-7498-49BD-A25C-7B14CCD67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iPriority="0"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qFormat/>
    <w:rsid w:val="00542C7B"/>
    <w:pPr>
      <w:keepNext/>
      <w:overflowPunct w:val="0"/>
      <w:autoSpaceDE w:val="0"/>
      <w:autoSpaceDN w:val="0"/>
      <w:adjustRightInd w:val="0"/>
      <w:spacing w:before="240" w:after="60"/>
      <w:textAlignment w:val="baseline"/>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BB0611"/>
    <w:pPr>
      <w:keepNext/>
      <w:overflowPunct w:val="0"/>
      <w:autoSpaceDE w:val="0"/>
      <w:autoSpaceDN w:val="0"/>
      <w:adjustRightInd w:val="0"/>
      <w:spacing w:before="240" w:after="60"/>
      <w:textAlignment w:val="baseline"/>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BB0611"/>
    <w:pPr>
      <w:keepNext/>
      <w:overflowPunct w:val="0"/>
      <w:autoSpaceDE w:val="0"/>
      <w:autoSpaceDN w:val="0"/>
      <w:adjustRightInd w:val="0"/>
      <w:spacing w:before="240" w:after="60"/>
      <w:textAlignment w:val="baseline"/>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unhideWhenUsed/>
    <w:qFormat/>
    <w:rsid w:val="00BB0611"/>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qFormat/>
    <w:rsid w:val="00BB0611"/>
    <w:pPr>
      <w:keepNext/>
      <w:overflowPunct w:val="0"/>
      <w:autoSpaceDE w:val="0"/>
      <w:autoSpaceDN w:val="0"/>
      <w:adjustRightInd w:val="0"/>
      <w:jc w:val="center"/>
      <w:textAlignment w:val="baseline"/>
      <w:outlineLvl w:val="4"/>
    </w:pPr>
    <w:rPr>
      <w:rFonts w:ascii="Arial" w:eastAsia="Times New Roman" w:hAnsi="Arial" w:cs="Arial"/>
      <w:b/>
      <w:bCs/>
      <w:sz w:val="24"/>
      <w:szCs w:val="20"/>
      <w:lang w:val="es-ES" w:eastAsia="es-ES"/>
    </w:rPr>
  </w:style>
  <w:style w:type="paragraph" w:styleId="Ttulo6">
    <w:name w:val="heading 6"/>
    <w:basedOn w:val="Normal"/>
    <w:next w:val="Normal"/>
    <w:link w:val="Ttulo6Car"/>
    <w:qFormat/>
    <w:rsid w:val="00BB0611"/>
    <w:pPr>
      <w:keepNext/>
      <w:overflowPunct w:val="0"/>
      <w:autoSpaceDE w:val="0"/>
      <w:autoSpaceDN w:val="0"/>
      <w:adjustRightInd w:val="0"/>
      <w:jc w:val="center"/>
      <w:textAlignment w:val="baseline"/>
      <w:outlineLvl w:val="5"/>
    </w:pPr>
    <w:rPr>
      <w:rFonts w:ascii="Arial" w:eastAsia="Times New Roman" w:hAnsi="Arial" w:cs="Arial"/>
      <w:sz w:val="28"/>
      <w:szCs w:val="20"/>
      <w:lang w:val="es-ES" w:eastAsia="es-ES"/>
    </w:rPr>
  </w:style>
  <w:style w:type="paragraph" w:styleId="Ttulo7">
    <w:name w:val="heading 7"/>
    <w:basedOn w:val="Normal"/>
    <w:next w:val="Normal"/>
    <w:link w:val="Ttulo7Car"/>
    <w:qFormat/>
    <w:rsid w:val="00BB0611"/>
    <w:pPr>
      <w:keepNext/>
      <w:overflowPunct w:val="0"/>
      <w:autoSpaceDE w:val="0"/>
      <w:autoSpaceDN w:val="0"/>
      <w:adjustRightInd w:val="0"/>
      <w:jc w:val="center"/>
      <w:textAlignment w:val="baseline"/>
      <w:outlineLvl w:val="6"/>
    </w:pPr>
    <w:rPr>
      <w:rFonts w:ascii="Arial" w:eastAsia="Times New Roman" w:hAnsi="Arial" w:cs="Arial"/>
      <w:b/>
      <w:bCs/>
      <w:sz w:val="28"/>
      <w:szCs w:val="20"/>
      <w:lang w:val="es-ES" w:eastAsia="es-ES"/>
    </w:rPr>
  </w:style>
  <w:style w:type="paragraph" w:styleId="Ttulo8">
    <w:name w:val="heading 8"/>
    <w:basedOn w:val="Normal"/>
    <w:next w:val="Normal"/>
    <w:link w:val="Ttulo8Car"/>
    <w:qFormat/>
    <w:rsid w:val="00BB0611"/>
    <w:pPr>
      <w:keepNext/>
      <w:overflowPunct w:val="0"/>
      <w:autoSpaceDE w:val="0"/>
      <w:autoSpaceDN w:val="0"/>
      <w:adjustRightInd w:val="0"/>
      <w:jc w:val="center"/>
      <w:textAlignment w:val="baseline"/>
      <w:outlineLvl w:val="7"/>
    </w:pPr>
    <w:rPr>
      <w:rFonts w:ascii="Arial" w:eastAsia="Times New Roman" w:hAnsi="Arial" w:cs="Arial"/>
      <w:b/>
      <w:bCs/>
      <w:sz w:val="56"/>
      <w:szCs w:val="20"/>
      <w:lang w:val="es-ES" w:eastAsia="es-ES"/>
    </w:rPr>
  </w:style>
  <w:style w:type="paragraph" w:styleId="Ttulo9">
    <w:name w:val="heading 9"/>
    <w:basedOn w:val="Normal"/>
    <w:next w:val="Normal"/>
    <w:link w:val="Ttulo9Car"/>
    <w:qFormat/>
    <w:rsid w:val="00BB0611"/>
    <w:pPr>
      <w:keepNext/>
      <w:numPr>
        <w:ilvl w:val="8"/>
        <w:numId w:val="4"/>
      </w:numPr>
      <w:jc w:val="both"/>
      <w:outlineLvl w:val="8"/>
    </w:pPr>
    <w:rPr>
      <w:rFonts w:ascii="Arial" w:eastAsia="Times New Roman" w:hAnsi="Arial" w:cs="Times New Roman"/>
      <w:b/>
      <w:color w:val="808000"/>
      <w:sz w:val="28"/>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CBPortadaNormal">
    <w:name w:val="ICB Portada Normal"/>
    <w:basedOn w:val="Normal"/>
    <w:link w:val="ICBPortadaNormalCar"/>
    <w:qFormat/>
    <w:rsid w:val="0070154E"/>
    <w:pPr>
      <w:ind w:left="288" w:hanging="288"/>
      <w:jc w:val="both"/>
    </w:pPr>
    <w:rPr>
      <w:rFonts w:ascii="Lucida Sans" w:hAnsi="Lucida Sans"/>
      <w:sz w:val="18"/>
    </w:rPr>
  </w:style>
  <w:style w:type="character" w:customStyle="1" w:styleId="ICBPortadaNormalCar">
    <w:name w:val="ICB Portada Normal Car"/>
    <w:link w:val="ICBPortadaNormal"/>
    <w:rsid w:val="0070154E"/>
    <w:rPr>
      <w:rFonts w:ascii="Lucida Sans" w:hAnsi="Lucida Sans"/>
      <w:sz w:val="18"/>
    </w:rPr>
  </w:style>
  <w:style w:type="character" w:customStyle="1" w:styleId="Heading1Char">
    <w:name w:val="Heading 1 Char"/>
    <w:basedOn w:val="Fuentedeprrafopredeter"/>
    <w:uiPriority w:val="9"/>
    <w:rsid w:val="00542C7B"/>
    <w:rPr>
      <w:rFonts w:asciiTheme="majorHAnsi" w:eastAsiaTheme="majorEastAsia" w:hAnsiTheme="majorHAnsi" w:cstheme="majorBidi"/>
      <w:b/>
      <w:bCs/>
      <w:color w:val="365F91" w:themeColor="accent1" w:themeShade="BF"/>
      <w:sz w:val="28"/>
      <w:szCs w:val="28"/>
    </w:rPr>
  </w:style>
  <w:style w:type="character" w:customStyle="1" w:styleId="Ttulo1Car">
    <w:name w:val="Título 1 Car"/>
    <w:basedOn w:val="Fuentedeprrafopredeter"/>
    <w:link w:val="Ttulo1"/>
    <w:rsid w:val="00542C7B"/>
    <w:rPr>
      <w:rFonts w:ascii="Arial" w:eastAsia="Times New Roman" w:hAnsi="Arial" w:cs="Arial"/>
      <w:b/>
      <w:bCs/>
      <w:kern w:val="32"/>
      <w:sz w:val="32"/>
      <w:szCs w:val="32"/>
      <w:lang w:val="es-ES" w:eastAsia="es-ES"/>
    </w:rPr>
  </w:style>
  <w:style w:type="paragraph" w:customStyle="1" w:styleId="VIETA1">
    <w:name w:val="VIÑETA 1"/>
    <w:basedOn w:val="Normal"/>
    <w:rsid w:val="00542C7B"/>
    <w:pPr>
      <w:numPr>
        <w:numId w:val="1"/>
      </w:numPr>
      <w:ind w:right="283"/>
      <w:jc w:val="both"/>
    </w:pPr>
    <w:rPr>
      <w:rFonts w:ascii="Arial" w:eastAsia="Times New Roman" w:hAnsi="Arial" w:cs="Times New Roman"/>
      <w:sz w:val="20"/>
      <w:szCs w:val="20"/>
      <w:lang w:val="es-ES" w:eastAsia="es-ES"/>
    </w:rPr>
  </w:style>
  <w:style w:type="paragraph" w:styleId="Prrafodelista">
    <w:name w:val="List Paragraph"/>
    <w:basedOn w:val="Normal"/>
    <w:uiPriority w:val="34"/>
    <w:qFormat/>
    <w:rsid w:val="00542C7B"/>
    <w:pPr>
      <w:overflowPunct w:val="0"/>
      <w:autoSpaceDE w:val="0"/>
      <w:autoSpaceDN w:val="0"/>
      <w:adjustRightInd w:val="0"/>
      <w:ind w:left="708"/>
      <w:textAlignment w:val="baseline"/>
    </w:pPr>
    <w:rPr>
      <w:rFonts w:ascii="Times New Roman" w:eastAsia="Times New Roman" w:hAnsi="Times New Roman" w:cs="Times New Roman"/>
      <w:sz w:val="24"/>
      <w:szCs w:val="20"/>
      <w:lang w:val="es-ES" w:eastAsia="es-ES"/>
    </w:rPr>
  </w:style>
  <w:style w:type="paragraph" w:styleId="Listaconvietas3">
    <w:name w:val="List Bullet 3"/>
    <w:basedOn w:val="Normal"/>
    <w:uiPriority w:val="99"/>
    <w:unhideWhenUsed/>
    <w:rsid w:val="00542C7B"/>
    <w:pPr>
      <w:numPr>
        <w:numId w:val="2"/>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character" w:customStyle="1" w:styleId="Ttulo4Car">
    <w:name w:val="Título 4 Car"/>
    <w:basedOn w:val="Fuentedeprrafopredeter"/>
    <w:link w:val="Ttulo4"/>
    <w:rsid w:val="00BB0611"/>
    <w:rPr>
      <w:rFonts w:asciiTheme="majorHAnsi" w:eastAsiaTheme="majorEastAsia" w:hAnsiTheme="majorHAnsi" w:cstheme="majorBidi"/>
      <w:b/>
      <w:bCs/>
      <w:i/>
      <w:iCs/>
      <w:color w:val="4F81BD" w:themeColor="accent1"/>
    </w:rPr>
  </w:style>
  <w:style w:type="character" w:customStyle="1" w:styleId="Ttulo2Car">
    <w:name w:val="Título 2 Car"/>
    <w:basedOn w:val="Fuentedeprrafopredeter"/>
    <w:link w:val="Ttulo2"/>
    <w:rsid w:val="00BB0611"/>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BB0611"/>
    <w:rPr>
      <w:rFonts w:ascii="Arial" w:eastAsia="Times New Roman" w:hAnsi="Arial" w:cs="Arial"/>
      <w:b/>
      <w:bCs/>
      <w:sz w:val="26"/>
      <w:szCs w:val="26"/>
      <w:lang w:val="es-ES" w:eastAsia="es-ES"/>
    </w:rPr>
  </w:style>
  <w:style w:type="character" w:customStyle="1" w:styleId="Ttulo5Car">
    <w:name w:val="Título 5 Car"/>
    <w:basedOn w:val="Fuentedeprrafopredeter"/>
    <w:link w:val="Ttulo5"/>
    <w:rsid w:val="00BB0611"/>
    <w:rPr>
      <w:rFonts w:ascii="Arial" w:eastAsia="Times New Roman" w:hAnsi="Arial" w:cs="Arial"/>
      <w:b/>
      <w:bCs/>
      <w:sz w:val="24"/>
      <w:szCs w:val="20"/>
      <w:lang w:val="es-ES" w:eastAsia="es-ES"/>
    </w:rPr>
  </w:style>
  <w:style w:type="character" w:customStyle="1" w:styleId="Ttulo6Car">
    <w:name w:val="Título 6 Car"/>
    <w:basedOn w:val="Fuentedeprrafopredeter"/>
    <w:link w:val="Ttulo6"/>
    <w:rsid w:val="00BB0611"/>
    <w:rPr>
      <w:rFonts w:ascii="Arial" w:eastAsia="Times New Roman" w:hAnsi="Arial" w:cs="Arial"/>
      <w:sz w:val="28"/>
      <w:szCs w:val="20"/>
      <w:lang w:val="es-ES" w:eastAsia="es-ES"/>
    </w:rPr>
  </w:style>
  <w:style w:type="character" w:customStyle="1" w:styleId="Ttulo7Car">
    <w:name w:val="Título 7 Car"/>
    <w:basedOn w:val="Fuentedeprrafopredeter"/>
    <w:link w:val="Ttulo7"/>
    <w:rsid w:val="00BB0611"/>
    <w:rPr>
      <w:rFonts w:ascii="Arial" w:eastAsia="Times New Roman" w:hAnsi="Arial" w:cs="Arial"/>
      <w:b/>
      <w:bCs/>
      <w:sz w:val="28"/>
      <w:szCs w:val="20"/>
      <w:lang w:val="es-ES" w:eastAsia="es-ES"/>
    </w:rPr>
  </w:style>
  <w:style w:type="character" w:customStyle="1" w:styleId="Ttulo8Car">
    <w:name w:val="Título 8 Car"/>
    <w:basedOn w:val="Fuentedeprrafopredeter"/>
    <w:link w:val="Ttulo8"/>
    <w:rsid w:val="00BB0611"/>
    <w:rPr>
      <w:rFonts w:ascii="Arial" w:eastAsia="Times New Roman" w:hAnsi="Arial" w:cs="Arial"/>
      <w:b/>
      <w:bCs/>
      <w:sz w:val="56"/>
      <w:szCs w:val="20"/>
      <w:lang w:val="es-ES" w:eastAsia="es-ES"/>
    </w:rPr>
  </w:style>
  <w:style w:type="character" w:customStyle="1" w:styleId="Ttulo9Car">
    <w:name w:val="Título 9 Car"/>
    <w:basedOn w:val="Fuentedeprrafopredeter"/>
    <w:link w:val="Ttulo9"/>
    <w:rsid w:val="00BB0611"/>
    <w:rPr>
      <w:rFonts w:ascii="Arial" w:eastAsia="Times New Roman" w:hAnsi="Arial" w:cs="Times New Roman"/>
      <w:b/>
      <w:color w:val="808000"/>
      <w:sz w:val="28"/>
      <w:szCs w:val="20"/>
      <w:lang w:val="es-ES_tradnl" w:eastAsia="es-ES"/>
    </w:rPr>
  </w:style>
  <w:style w:type="paragraph" w:customStyle="1" w:styleId="BodyText21">
    <w:name w:val="Body Text 21"/>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texto">
    <w:name w:val="texto"/>
    <w:basedOn w:val="Normal"/>
    <w:rsid w:val="00BB0611"/>
    <w:pPr>
      <w:spacing w:after="101" w:line="216" w:lineRule="atLeast"/>
      <w:ind w:firstLine="288"/>
      <w:jc w:val="both"/>
    </w:pPr>
    <w:rPr>
      <w:rFonts w:ascii="Arial" w:eastAsia="Times New Roman" w:hAnsi="Arial" w:cs="Arial"/>
      <w:sz w:val="18"/>
      <w:szCs w:val="18"/>
      <w:lang w:val="es-ES" w:eastAsia="es-ES"/>
    </w:rPr>
  </w:style>
  <w:style w:type="paragraph" w:customStyle="1" w:styleId="ROMANOS">
    <w:name w:val="ROMANOS"/>
    <w:basedOn w:val="Normal"/>
    <w:link w:val="ROMANOSCar"/>
    <w:rsid w:val="00BB0611"/>
    <w:pPr>
      <w:tabs>
        <w:tab w:val="left" w:pos="720"/>
      </w:tabs>
      <w:spacing w:after="101" w:line="216" w:lineRule="atLeast"/>
      <w:ind w:left="720" w:hanging="475"/>
      <w:jc w:val="both"/>
    </w:pPr>
    <w:rPr>
      <w:rFonts w:ascii="Arial" w:eastAsia="Times New Roman" w:hAnsi="Arial" w:cs="Arial"/>
      <w:sz w:val="18"/>
      <w:szCs w:val="18"/>
    </w:rPr>
  </w:style>
  <w:style w:type="paragraph" w:customStyle="1" w:styleId="INCISO">
    <w:name w:val="INCISO"/>
    <w:basedOn w:val="Normal"/>
    <w:rsid w:val="00BB0611"/>
    <w:pPr>
      <w:tabs>
        <w:tab w:val="left" w:pos="1080"/>
      </w:tabs>
      <w:spacing w:after="101" w:line="216" w:lineRule="atLeast"/>
      <w:ind w:left="1080" w:hanging="360"/>
      <w:jc w:val="both"/>
    </w:pPr>
    <w:rPr>
      <w:rFonts w:ascii="Arial" w:eastAsia="Times New Roman" w:hAnsi="Arial" w:cs="Arial"/>
      <w:sz w:val="18"/>
      <w:szCs w:val="18"/>
      <w:lang w:val="es-ES" w:eastAsia="es-ES"/>
    </w:rPr>
  </w:style>
  <w:style w:type="paragraph" w:styleId="Textoindependiente">
    <w:name w:val="Body Text"/>
    <w:basedOn w:val="Normal"/>
    <w:link w:val="TextoindependienteCar"/>
    <w:rsid w:val="00BB0611"/>
    <w:pPr>
      <w:spacing w:before="100" w:beforeAutospacing="1" w:after="100" w:afterAutospacing="1"/>
      <w:jc w:val="both"/>
    </w:pPr>
    <w:rPr>
      <w:rFonts w:ascii="Times New Roman" w:eastAsia="Times New Roman" w:hAnsi="Times New Roman" w:cs="Times New Roman"/>
      <w:sz w:val="28"/>
      <w:szCs w:val="24"/>
    </w:rPr>
  </w:style>
  <w:style w:type="character" w:customStyle="1" w:styleId="TextoindependienteCar">
    <w:name w:val="Texto independiente Car"/>
    <w:basedOn w:val="Fuentedeprrafopredeter"/>
    <w:link w:val="Textoindependiente"/>
    <w:rsid w:val="00BB0611"/>
    <w:rPr>
      <w:rFonts w:ascii="Times New Roman" w:eastAsia="Times New Roman" w:hAnsi="Times New Roman" w:cs="Times New Roman"/>
      <w:sz w:val="28"/>
      <w:szCs w:val="24"/>
    </w:rPr>
  </w:style>
  <w:style w:type="paragraph" w:styleId="Textoindependiente2">
    <w:name w:val="Body Text 2"/>
    <w:basedOn w:val="Normal"/>
    <w:link w:val="Textoindependiente2Car"/>
    <w:rsid w:val="00BB0611"/>
    <w:pPr>
      <w:overflowPunct w:val="0"/>
      <w:autoSpaceDE w:val="0"/>
      <w:autoSpaceDN w:val="0"/>
      <w:adjustRightInd w:val="0"/>
      <w:ind w:left="360"/>
      <w:textAlignment w:val="baseline"/>
    </w:pPr>
    <w:rPr>
      <w:rFonts w:ascii="Arial" w:eastAsia="Times New Roman" w:hAnsi="Arial" w:cs="Times New Roman"/>
      <w:szCs w:val="20"/>
    </w:rPr>
  </w:style>
  <w:style w:type="character" w:customStyle="1" w:styleId="Textoindependiente2Car">
    <w:name w:val="Texto independiente 2 Car"/>
    <w:basedOn w:val="Fuentedeprrafopredeter"/>
    <w:link w:val="Textoindependiente2"/>
    <w:rsid w:val="00BB0611"/>
    <w:rPr>
      <w:rFonts w:ascii="Arial" w:eastAsia="Times New Roman" w:hAnsi="Arial" w:cs="Times New Roman"/>
      <w:szCs w:val="20"/>
    </w:rPr>
  </w:style>
  <w:style w:type="paragraph" w:styleId="Piedepgina">
    <w:name w:val="footer"/>
    <w:basedOn w:val="Normal"/>
    <w:link w:val="PiedepginaCar"/>
    <w:uiPriority w:val="99"/>
    <w:rsid w:val="00BB0611"/>
    <w:pPr>
      <w:tabs>
        <w:tab w:val="center" w:pos="4419"/>
        <w:tab w:val="right" w:pos="8838"/>
      </w:tabs>
      <w:overflowPunct w:val="0"/>
      <w:autoSpaceDE w:val="0"/>
      <w:autoSpaceDN w:val="0"/>
      <w:adjustRightInd w:val="0"/>
      <w:textAlignment w:val="baseline"/>
    </w:pPr>
    <w:rPr>
      <w:rFonts w:ascii="Arial" w:eastAsia="Times New Roman" w:hAnsi="Arial" w:cs="Times New Roman"/>
      <w:sz w:val="24"/>
      <w:szCs w:val="20"/>
      <w:lang w:val="es-MX"/>
    </w:rPr>
  </w:style>
  <w:style w:type="character" w:customStyle="1" w:styleId="PiedepginaCar">
    <w:name w:val="Pie de página Car"/>
    <w:basedOn w:val="Fuentedeprrafopredeter"/>
    <w:link w:val="Piedepgina"/>
    <w:uiPriority w:val="99"/>
    <w:rsid w:val="00BB0611"/>
    <w:rPr>
      <w:rFonts w:ascii="Arial" w:eastAsia="Times New Roman" w:hAnsi="Arial" w:cs="Times New Roman"/>
      <w:sz w:val="24"/>
      <w:szCs w:val="20"/>
      <w:lang w:val="es-MX"/>
    </w:rPr>
  </w:style>
  <w:style w:type="paragraph" w:styleId="Sangra2detindependiente">
    <w:name w:val="Body Text Indent 2"/>
    <w:basedOn w:val="Normal"/>
    <w:link w:val="Sangra2detindependienteCar"/>
    <w:rsid w:val="00BB0611"/>
    <w:pPr>
      <w:overflowPunct w:val="0"/>
      <w:autoSpaceDE w:val="0"/>
      <w:autoSpaceDN w:val="0"/>
      <w:adjustRightInd w:val="0"/>
      <w:ind w:left="708"/>
      <w:jc w:val="both"/>
      <w:textAlignment w:val="baseline"/>
    </w:pPr>
    <w:rPr>
      <w:rFonts w:ascii="Arial" w:eastAsia="Times New Roman" w:hAnsi="Arial" w:cs="Times New Roman"/>
      <w:sz w:val="24"/>
      <w:szCs w:val="20"/>
      <w:lang w:val="es-MX"/>
    </w:rPr>
  </w:style>
  <w:style w:type="character" w:customStyle="1" w:styleId="Sangra2detindependienteCar">
    <w:name w:val="Sangría 2 de t. independiente Car"/>
    <w:basedOn w:val="Fuentedeprrafopredeter"/>
    <w:link w:val="Sangra2detindependiente"/>
    <w:rsid w:val="00BB0611"/>
    <w:rPr>
      <w:rFonts w:ascii="Arial" w:eastAsia="Times New Roman" w:hAnsi="Arial" w:cs="Times New Roman"/>
      <w:sz w:val="24"/>
      <w:szCs w:val="20"/>
      <w:lang w:val="es-MX"/>
    </w:rPr>
  </w:style>
  <w:style w:type="paragraph" w:styleId="Sangra3detindependiente">
    <w:name w:val="Body Text Indent 3"/>
    <w:basedOn w:val="Normal"/>
    <w:link w:val="Sangra3detindependienteCar"/>
    <w:rsid w:val="00BB0611"/>
    <w:pPr>
      <w:overflowPunct w:val="0"/>
      <w:autoSpaceDE w:val="0"/>
      <w:autoSpaceDN w:val="0"/>
      <w:adjustRightInd w:val="0"/>
      <w:spacing w:after="120"/>
      <w:ind w:left="360"/>
      <w:textAlignment w:val="baseline"/>
    </w:pPr>
    <w:rPr>
      <w:rFonts w:ascii="Times New Roman" w:eastAsia="Times New Roman" w:hAnsi="Times New Roman" w:cs="Times New Roman"/>
      <w:sz w:val="16"/>
      <w:szCs w:val="16"/>
      <w:lang w:val="es-ES" w:eastAsia="es-ES"/>
    </w:rPr>
  </w:style>
  <w:style w:type="character" w:customStyle="1" w:styleId="Sangra3detindependienteCar">
    <w:name w:val="Sangría 3 de t. independiente Car"/>
    <w:basedOn w:val="Fuentedeprrafopredeter"/>
    <w:link w:val="Sangra3detindependiente"/>
    <w:rsid w:val="00BB0611"/>
    <w:rPr>
      <w:rFonts w:ascii="Times New Roman" w:eastAsia="Times New Roman" w:hAnsi="Times New Roman" w:cs="Times New Roman"/>
      <w:sz w:val="16"/>
      <w:szCs w:val="16"/>
      <w:lang w:val="es-ES" w:eastAsia="es-ES"/>
    </w:rPr>
  </w:style>
  <w:style w:type="paragraph" w:customStyle="1" w:styleId="Textoindependiente31">
    <w:name w:val="Texto independiente 31"/>
    <w:basedOn w:val="Normal"/>
    <w:rsid w:val="00BB0611"/>
    <w:pPr>
      <w:jc w:val="both"/>
    </w:pPr>
    <w:rPr>
      <w:rFonts w:ascii="Arial" w:eastAsia="Times New Roman" w:hAnsi="Arial" w:cs="Arial"/>
      <w:b/>
      <w:lang w:val="es-ES" w:eastAsia="es-ES"/>
    </w:rPr>
  </w:style>
  <w:style w:type="paragraph" w:customStyle="1" w:styleId="CUADRO">
    <w:name w:val="CUADRO"/>
    <w:basedOn w:val="Normal"/>
    <w:rsid w:val="00BB0611"/>
    <w:pPr>
      <w:jc w:val="center"/>
    </w:pPr>
    <w:rPr>
      <w:rFonts w:ascii="Arial" w:eastAsia="Times New Roman" w:hAnsi="Arial" w:cs="Times New Roman"/>
      <w:b/>
      <w:sz w:val="20"/>
      <w:szCs w:val="20"/>
      <w:lang w:val="es-MX" w:eastAsia="es-ES"/>
    </w:rPr>
  </w:style>
  <w:style w:type="paragraph" w:customStyle="1" w:styleId="TABLAS">
    <w:name w:val="TABLAS"/>
    <w:basedOn w:val="Normal"/>
    <w:rsid w:val="00BB0611"/>
    <w:pPr>
      <w:spacing w:before="72" w:after="72"/>
      <w:jc w:val="both"/>
    </w:pPr>
    <w:rPr>
      <w:rFonts w:ascii="Arial" w:eastAsia="Times New Roman" w:hAnsi="Arial" w:cs="Times New Roman"/>
      <w:color w:val="000080"/>
      <w:sz w:val="20"/>
      <w:szCs w:val="20"/>
      <w:lang w:val="es-ES_tradnl" w:eastAsia="es-ES"/>
    </w:rPr>
  </w:style>
  <w:style w:type="paragraph" w:customStyle="1" w:styleId="PARRAFO">
    <w:name w:val="PARRAFO"/>
    <w:basedOn w:val="Normal"/>
    <w:rsid w:val="00BB0611"/>
    <w:pPr>
      <w:spacing w:after="240"/>
      <w:jc w:val="both"/>
    </w:pPr>
    <w:rPr>
      <w:rFonts w:ascii="Arial" w:eastAsia="Times New Roman" w:hAnsi="Arial" w:cs="Times New Roman"/>
      <w:color w:val="000080"/>
      <w:sz w:val="20"/>
      <w:szCs w:val="20"/>
      <w:lang w:val="es-ES_tradnl" w:eastAsia="es-ES"/>
    </w:rPr>
  </w:style>
  <w:style w:type="paragraph" w:customStyle="1" w:styleId="ANOTACION">
    <w:name w:val="ANOTACION"/>
    <w:basedOn w:val="Normal"/>
    <w:rsid w:val="00BB0611"/>
    <w:pPr>
      <w:spacing w:before="101" w:after="101" w:line="216" w:lineRule="atLeast"/>
      <w:jc w:val="center"/>
    </w:pPr>
    <w:rPr>
      <w:rFonts w:ascii="CG Palacio (WN)" w:eastAsia="Times New Roman" w:hAnsi="CG Palacio (WN)" w:cs="Times New Roman"/>
      <w:b/>
      <w:sz w:val="18"/>
      <w:szCs w:val="20"/>
      <w:lang w:val="es-ES_tradnl" w:eastAsia="es-ES"/>
    </w:rPr>
  </w:style>
  <w:style w:type="paragraph" w:customStyle="1" w:styleId="ENCABEZADO1">
    <w:name w:val="ENCABEZADO 1"/>
    <w:basedOn w:val="Normal"/>
    <w:rsid w:val="00BB0611"/>
    <w:pPr>
      <w:jc w:val="right"/>
    </w:pPr>
    <w:rPr>
      <w:rFonts w:ascii="Arial" w:eastAsia="Times New Roman" w:hAnsi="Arial" w:cs="Times New Roman"/>
      <w:b/>
      <w:sz w:val="20"/>
      <w:szCs w:val="20"/>
      <w:lang w:val="es-ES" w:eastAsia="es-ES"/>
    </w:rPr>
  </w:style>
  <w:style w:type="paragraph" w:customStyle="1" w:styleId="ENCABEZADO2">
    <w:name w:val="ENCABEZADO 2"/>
    <w:basedOn w:val="Normal"/>
    <w:rsid w:val="00BB0611"/>
    <w:pPr>
      <w:tabs>
        <w:tab w:val="left" w:pos="6237"/>
        <w:tab w:val="left" w:pos="6663"/>
      </w:tabs>
      <w:jc w:val="right"/>
    </w:pPr>
    <w:rPr>
      <w:rFonts w:ascii="Arial" w:eastAsia="Times New Roman" w:hAnsi="Arial" w:cs="Times New Roman"/>
      <w:b/>
      <w:sz w:val="16"/>
      <w:szCs w:val="20"/>
      <w:lang w:val="es-ES" w:eastAsia="es-ES"/>
    </w:rPr>
  </w:style>
  <w:style w:type="paragraph" w:customStyle="1" w:styleId="VERSION">
    <w:name w:val="VERSION"/>
    <w:basedOn w:val="Normal"/>
    <w:rsid w:val="00BB0611"/>
    <w:rPr>
      <w:rFonts w:ascii="Arial" w:eastAsia="Times New Roman" w:hAnsi="Arial" w:cs="Times New Roman"/>
      <w:sz w:val="16"/>
      <w:szCs w:val="20"/>
      <w:lang w:val="es-ES" w:eastAsia="es-ES"/>
    </w:rPr>
  </w:style>
  <w:style w:type="paragraph" w:customStyle="1" w:styleId="CODIGO">
    <w:name w:val="CODIGO"/>
    <w:basedOn w:val="Normal"/>
    <w:rsid w:val="00BB0611"/>
    <w:pPr>
      <w:ind w:firstLine="7655"/>
    </w:pPr>
    <w:rPr>
      <w:rFonts w:ascii="Arial" w:eastAsia="Times New Roman" w:hAnsi="Arial" w:cs="Times New Roman"/>
      <w:sz w:val="16"/>
      <w:szCs w:val="20"/>
      <w:lang w:val="es-ES" w:eastAsia="es-ES"/>
    </w:rPr>
  </w:style>
  <w:style w:type="paragraph" w:customStyle="1" w:styleId="CARATULA">
    <w:name w:val="CARATULA"/>
    <w:basedOn w:val="Normal"/>
    <w:rsid w:val="00BB0611"/>
    <w:pPr>
      <w:jc w:val="center"/>
    </w:pPr>
    <w:rPr>
      <w:rFonts w:ascii="Arial" w:eastAsia="Times New Roman" w:hAnsi="Arial" w:cs="Times New Roman"/>
      <w:sz w:val="52"/>
      <w:szCs w:val="20"/>
      <w:lang w:val="es-ES_tradnl" w:eastAsia="es-ES"/>
    </w:rPr>
  </w:style>
  <w:style w:type="paragraph" w:customStyle="1" w:styleId="AUTORIZACION">
    <w:name w:val="AUTORIZACION"/>
    <w:basedOn w:val="Normal"/>
    <w:rsid w:val="00BB0611"/>
    <w:pPr>
      <w:jc w:val="both"/>
    </w:pPr>
    <w:rPr>
      <w:rFonts w:ascii="Arial" w:eastAsia="Times New Roman" w:hAnsi="Arial" w:cs="Times New Roman"/>
      <w:sz w:val="18"/>
      <w:szCs w:val="20"/>
      <w:lang w:val="es-ES" w:eastAsia="es-ES"/>
    </w:rPr>
  </w:style>
  <w:style w:type="paragraph" w:customStyle="1" w:styleId="AUTORIZACION1">
    <w:name w:val="AUTORIZACION 1"/>
    <w:basedOn w:val="AUTORIZACION"/>
    <w:rsid w:val="00BB0611"/>
    <w:pPr>
      <w:jc w:val="center"/>
    </w:pPr>
    <w:rPr>
      <w:b/>
    </w:rPr>
  </w:style>
  <w:style w:type="paragraph" w:customStyle="1" w:styleId="TEXTOCENTRADO">
    <w:name w:val="TEXTO CENTRADO"/>
    <w:basedOn w:val="Ttulo1"/>
    <w:rsid w:val="00BB0611"/>
    <w:pPr>
      <w:overflowPunct/>
      <w:autoSpaceDE/>
      <w:autoSpaceDN/>
      <w:adjustRightInd/>
      <w:spacing w:before="0" w:after="0"/>
      <w:jc w:val="center"/>
      <w:textAlignment w:val="auto"/>
    </w:pPr>
    <w:rPr>
      <w:rFonts w:cs="Times New Roman"/>
      <w:bCs w:val="0"/>
      <w:color w:val="000000"/>
      <w:kern w:val="0"/>
      <w:sz w:val="20"/>
      <w:szCs w:val="20"/>
    </w:rPr>
  </w:style>
  <w:style w:type="paragraph" w:customStyle="1" w:styleId="TITULOI">
    <w:name w:val="TITULO I"/>
    <w:basedOn w:val="Ttulo4"/>
    <w:rsid w:val="00BB0611"/>
    <w:pPr>
      <w:keepNext w:val="0"/>
      <w:keepLines w:val="0"/>
      <w:tabs>
        <w:tab w:val="num" w:pos="720"/>
      </w:tabs>
      <w:spacing w:before="60"/>
      <w:ind w:left="720" w:right="283" w:hanging="720"/>
      <w:jc w:val="both"/>
    </w:pPr>
    <w:rPr>
      <w:rFonts w:ascii="Arial" w:eastAsia="Times New Roman" w:hAnsi="Arial" w:cs="Times New Roman"/>
      <w:bCs w:val="0"/>
      <w:i w:val="0"/>
      <w:iCs w:val="0"/>
      <w:color w:val="000000"/>
      <w:sz w:val="20"/>
      <w:szCs w:val="20"/>
      <w:lang w:val="es-ES_tradnl" w:eastAsia="es-ES"/>
    </w:rPr>
  </w:style>
  <w:style w:type="paragraph" w:customStyle="1" w:styleId="TEXTO0">
    <w:name w:val="TEXTO"/>
    <w:basedOn w:val="Normal"/>
    <w:rsid w:val="00BB0611"/>
    <w:pPr>
      <w:ind w:left="709" w:right="283"/>
      <w:jc w:val="both"/>
    </w:pPr>
    <w:rPr>
      <w:rFonts w:ascii="Arial" w:eastAsia="Times New Roman" w:hAnsi="Arial" w:cs="Times New Roman"/>
      <w:sz w:val="20"/>
      <w:szCs w:val="20"/>
      <w:lang w:val="es-ES" w:eastAsia="es-ES"/>
    </w:rPr>
  </w:style>
  <w:style w:type="paragraph" w:customStyle="1" w:styleId="VIETA2">
    <w:name w:val="VIÑETA 2"/>
    <w:basedOn w:val="Normal"/>
    <w:rsid w:val="00BB0611"/>
    <w:pPr>
      <w:tabs>
        <w:tab w:val="num" w:pos="1418"/>
      </w:tabs>
      <w:ind w:left="1418" w:right="283" w:hanging="284"/>
      <w:jc w:val="both"/>
    </w:pPr>
    <w:rPr>
      <w:rFonts w:ascii="Arial" w:eastAsia="Times New Roman" w:hAnsi="Arial" w:cs="Times New Roman"/>
      <w:sz w:val="20"/>
      <w:szCs w:val="20"/>
      <w:lang w:val="es-ES" w:eastAsia="es-ES"/>
    </w:rPr>
  </w:style>
  <w:style w:type="paragraph" w:customStyle="1" w:styleId="TITULO1">
    <w:name w:val="TITULO 1"/>
    <w:basedOn w:val="Ttulo3"/>
    <w:rsid w:val="00BB0611"/>
    <w:pPr>
      <w:keepNext w:val="0"/>
      <w:tabs>
        <w:tab w:val="num" w:pos="720"/>
      </w:tabs>
      <w:overflowPunct/>
      <w:autoSpaceDE/>
      <w:autoSpaceDN/>
      <w:adjustRightInd/>
      <w:spacing w:before="360" w:after="120"/>
      <w:ind w:left="720" w:hanging="720"/>
      <w:jc w:val="both"/>
      <w:textAlignment w:val="auto"/>
    </w:pPr>
    <w:rPr>
      <w:rFonts w:cs="Times New Roman"/>
      <w:bCs w:val="0"/>
      <w:sz w:val="20"/>
      <w:szCs w:val="20"/>
      <w:lang w:val="es-ES_tradnl"/>
    </w:rPr>
  </w:style>
  <w:style w:type="paragraph" w:customStyle="1" w:styleId="ACTOR">
    <w:name w:val="ACTOR"/>
    <w:basedOn w:val="Sangradetextonormal"/>
    <w:rsid w:val="00BB0611"/>
    <w:pPr>
      <w:ind w:left="709" w:right="-93"/>
      <w:jc w:val="both"/>
    </w:pPr>
    <w:rPr>
      <w:b/>
      <w:lang w:val="es-ES"/>
    </w:rPr>
  </w:style>
  <w:style w:type="paragraph" w:styleId="Sangradetextonormal">
    <w:name w:val="Body Text Indent"/>
    <w:basedOn w:val="Normal"/>
    <w:link w:val="SangradetextonormalCar"/>
    <w:rsid w:val="00BB0611"/>
    <w:pPr>
      <w:ind w:left="72"/>
    </w:pPr>
    <w:rPr>
      <w:rFonts w:ascii="Arial" w:eastAsia="Times New Roman" w:hAnsi="Arial" w:cs="Times New Roman"/>
      <w:i/>
      <w:sz w:val="20"/>
      <w:szCs w:val="20"/>
      <w:lang w:val="es-ES_tradnl" w:eastAsia="es-ES"/>
    </w:rPr>
  </w:style>
  <w:style w:type="character" w:customStyle="1" w:styleId="SangradetextonormalCar">
    <w:name w:val="Sangría de texto normal Car"/>
    <w:basedOn w:val="Fuentedeprrafopredeter"/>
    <w:link w:val="Sangradetextonormal"/>
    <w:rsid w:val="00BB0611"/>
    <w:rPr>
      <w:rFonts w:ascii="Arial" w:eastAsia="Times New Roman" w:hAnsi="Arial" w:cs="Times New Roman"/>
      <w:i/>
      <w:sz w:val="20"/>
      <w:szCs w:val="20"/>
      <w:lang w:val="es-ES_tradnl" w:eastAsia="es-ES"/>
    </w:rPr>
  </w:style>
  <w:style w:type="paragraph" w:customStyle="1" w:styleId="SUBTITULO1">
    <w:name w:val="SUBTITULO 1"/>
    <w:basedOn w:val="TEXTOCENTRADO"/>
    <w:rsid w:val="00BB0611"/>
    <w:pPr>
      <w:tabs>
        <w:tab w:val="num" w:pos="709"/>
        <w:tab w:val="left" w:pos="8789"/>
      </w:tabs>
      <w:ind w:left="709" w:right="255" w:hanging="709"/>
      <w:jc w:val="both"/>
    </w:pPr>
  </w:style>
  <w:style w:type="paragraph" w:customStyle="1" w:styleId="SUBTITULO2">
    <w:name w:val="SUBTITULO 2"/>
    <w:basedOn w:val="PARRAFO"/>
    <w:rsid w:val="00BB0611"/>
    <w:pPr>
      <w:spacing w:before="60" w:after="120"/>
      <w:ind w:left="720" w:hanging="720"/>
    </w:pPr>
    <w:rPr>
      <w:color w:val="auto"/>
    </w:rPr>
  </w:style>
  <w:style w:type="paragraph" w:customStyle="1" w:styleId="Anexo1">
    <w:name w:val="Anexo 1"/>
    <w:basedOn w:val="Piedepgina"/>
    <w:rsid w:val="00BB0611"/>
    <w:pPr>
      <w:numPr>
        <w:ilvl w:val="12"/>
      </w:numPr>
      <w:tabs>
        <w:tab w:val="clear" w:pos="4419"/>
        <w:tab w:val="clear" w:pos="8838"/>
      </w:tabs>
      <w:overflowPunct/>
      <w:autoSpaceDE/>
      <w:autoSpaceDN/>
      <w:adjustRightInd/>
      <w:jc w:val="center"/>
      <w:textAlignment w:val="auto"/>
    </w:pPr>
    <w:rPr>
      <w:b/>
      <w:sz w:val="20"/>
      <w:lang w:val="es-ES_tradnl" w:eastAsia="es-ES"/>
    </w:rPr>
  </w:style>
  <w:style w:type="paragraph" w:customStyle="1" w:styleId="LETRAS">
    <w:name w:val="LETRAS"/>
    <w:basedOn w:val="Normal"/>
    <w:rsid w:val="00BB0611"/>
    <w:pPr>
      <w:tabs>
        <w:tab w:val="num" w:pos="1068"/>
      </w:tabs>
      <w:ind w:left="1068" w:right="283" w:hanging="360"/>
      <w:jc w:val="both"/>
    </w:pPr>
    <w:rPr>
      <w:rFonts w:ascii="Arial" w:eastAsia="Times New Roman" w:hAnsi="Arial" w:cs="Times New Roman"/>
      <w:sz w:val="20"/>
      <w:szCs w:val="20"/>
      <w:lang w:val="es-ES" w:eastAsia="es-ES"/>
    </w:rPr>
  </w:style>
  <w:style w:type="paragraph" w:customStyle="1" w:styleId="ANEXOCARATULA">
    <w:name w:val="ANEXO CARATULA"/>
    <w:basedOn w:val="Anexo1"/>
    <w:rsid w:val="00BB0611"/>
    <w:pPr>
      <w:ind w:right="255"/>
    </w:pPr>
    <w:rPr>
      <w:sz w:val="52"/>
    </w:rPr>
  </w:style>
  <w:style w:type="paragraph" w:customStyle="1" w:styleId="EMISION">
    <w:name w:val="EMISION"/>
    <w:basedOn w:val="Piedepgina"/>
    <w:rsid w:val="00BB0611"/>
    <w:pPr>
      <w:tabs>
        <w:tab w:val="clear" w:pos="4419"/>
        <w:tab w:val="clear" w:pos="8838"/>
      </w:tabs>
      <w:overflowPunct/>
      <w:autoSpaceDE/>
      <w:autoSpaceDN/>
      <w:adjustRightInd/>
      <w:textAlignment w:val="auto"/>
    </w:pPr>
    <w:rPr>
      <w:sz w:val="20"/>
      <w:lang w:val="es-ES" w:eastAsia="es-ES"/>
    </w:rPr>
  </w:style>
  <w:style w:type="paragraph" w:customStyle="1" w:styleId="POLITICASTEXTO">
    <w:name w:val="POLITICAS TEXTO"/>
    <w:basedOn w:val="TEXTO0"/>
    <w:rsid w:val="00BB0611"/>
    <w:pPr>
      <w:spacing w:before="60" w:after="120"/>
      <w:ind w:right="255"/>
      <w:jc w:val="center"/>
    </w:pPr>
    <w:rPr>
      <w:u w:val="single"/>
      <w:lang w:val="es-ES_tradnl"/>
    </w:rPr>
  </w:style>
  <w:style w:type="paragraph" w:customStyle="1" w:styleId="VIETA20">
    <w:name w:val="VIÑETA2"/>
    <w:basedOn w:val="Normal"/>
    <w:rsid w:val="00BB0611"/>
    <w:pPr>
      <w:tabs>
        <w:tab w:val="num" w:pos="-66"/>
      </w:tabs>
      <w:spacing w:before="60" w:after="60"/>
      <w:ind w:left="643" w:right="255" w:hanging="283"/>
      <w:jc w:val="both"/>
    </w:pPr>
    <w:rPr>
      <w:rFonts w:ascii="Arial" w:eastAsia="Times New Roman" w:hAnsi="Arial" w:cs="Times New Roman"/>
      <w:sz w:val="20"/>
      <w:szCs w:val="20"/>
      <w:lang w:val="es-ES_tradnl" w:eastAsia="es-ES"/>
    </w:rPr>
  </w:style>
  <w:style w:type="paragraph" w:customStyle="1" w:styleId="VIETA3">
    <w:name w:val="VIÑETA 3"/>
    <w:basedOn w:val="Normal"/>
    <w:rsid w:val="00BB0611"/>
    <w:pPr>
      <w:tabs>
        <w:tab w:val="num" w:pos="1069"/>
      </w:tabs>
      <w:spacing w:before="20" w:after="20"/>
      <w:ind w:left="1069" w:right="255" w:hanging="360"/>
      <w:jc w:val="both"/>
    </w:pPr>
    <w:rPr>
      <w:rFonts w:ascii="Arial" w:eastAsia="Times New Roman" w:hAnsi="Arial" w:cs="Times New Roman"/>
      <w:sz w:val="20"/>
      <w:szCs w:val="20"/>
      <w:lang w:val="es-ES_tradnl" w:eastAsia="es-ES"/>
    </w:rPr>
  </w:style>
  <w:style w:type="paragraph" w:customStyle="1" w:styleId="NOTAS">
    <w:name w:val="NOTAS"/>
    <w:basedOn w:val="Normal"/>
    <w:rsid w:val="00BB0611"/>
    <w:pPr>
      <w:numPr>
        <w:ilvl w:val="12"/>
      </w:numPr>
      <w:spacing w:before="60" w:after="60"/>
      <w:ind w:left="709"/>
      <w:jc w:val="both"/>
    </w:pPr>
    <w:rPr>
      <w:rFonts w:ascii="Arial" w:eastAsia="Times New Roman" w:hAnsi="Arial" w:cs="Times New Roman"/>
      <w:b/>
      <w:i/>
      <w:color w:val="000000"/>
      <w:sz w:val="16"/>
      <w:szCs w:val="20"/>
      <w:lang w:val="es-ES_tradnl" w:eastAsia="es-ES"/>
    </w:rPr>
  </w:style>
  <w:style w:type="paragraph" w:customStyle="1" w:styleId="TextodePoltica">
    <w:name w:val="Texto de Política"/>
    <w:basedOn w:val="Normal"/>
    <w:rsid w:val="00BB0611"/>
    <w:pPr>
      <w:tabs>
        <w:tab w:val="left" w:pos="142"/>
        <w:tab w:val="left" w:pos="195"/>
        <w:tab w:val="num" w:pos="567"/>
      </w:tabs>
      <w:spacing w:before="120"/>
      <w:ind w:left="567" w:right="215" w:hanging="567"/>
      <w:jc w:val="both"/>
    </w:pPr>
    <w:rPr>
      <w:rFonts w:ascii="Arial" w:eastAsia="Times New Roman" w:hAnsi="Arial" w:cs="Times New Roman"/>
      <w:sz w:val="24"/>
      <w:szCs w:val="20"/>
      <w:lang w:val="es-MX" w:eastAsia="es-ES"/>
    </w:rPr>
  </w:style>
  <w:style w:type="paragraph" w:customStyle="1" w:styleId="GLOSARIO">
    <w:name w:val="GLOSARIO"/>
    <w:basedOn w:val="Normal"/>
    <w:rsid w:val="00BB0611"/>
    <w:pPr>
      <w:spacing w:after="120"/>
      <w:jc w:val="both"/>
    </w:pPr>
    <w:rPr>
      <w:rFonts w:ascii="Arial" w:eastAsia="Times New Roman" w:hAnsi="Arial" w:cs="Times New Roman"/>
      <w:sz w:val="20"/>
      <w:szCs w:val="20"/>
      <w:lang w:val="es-ES_tradnl" w:eastAsia="es-ES"/>
    </w:rPr>
  </w:style>
  <w:style w:type="paragraph" w:customStyle="1" w:styleId="Asuntodelcomentario1">
    <w:name w:val="Asunto del comentario1"/>
    <w:basedOn w:val="Textocomentario"/>
    <w:next w:val="Textocomentario"/>
    <w:semiHidden/>
    <w:rsid w:val="00BB0611"/>
    <w:rPr>
      <w:b/>
      <w:bCs/>
    </w:rPr>
  </w:style>
  <w:style w:type="paragraph" w:styleId="Textocomentario">
    <w:name w:val="annotation text"/>
    <w:basedOn w:val="Normal"/>
    <w:link w:val="TextocomentarioCar"/>
    <w:uiPriority w:val="99"/>
    <w:semiHidden/>
    <w:rsid w:val="00BB0611"/>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semiHidden/>
    <w:rsid w:val="00BB0611"/>
    <w:rPr>
      <w:rFonts w:ascii="Times New Roman" w:eastAsia="Times New Roman" w:hAnsi="Times New Roman" w:cs="Times New Roman"/>
      <w:sz w:val="20"/>
      <w:szCs w:val="20"/>
      <w:lang w:val="es-ES_tradnl" w:eastAsia="es-ES"/>
    </w:rPr>
  </w:style>
  <w:style w:type="paragraph" w:customStyle="1" w:styleId="Text-Headline">
    <w:name w:val="Text-Headline"/>
    <w:rsid w:val="00BB0611"/>
    <w:pPr>
      <w:tabs>
        <w:tab w:val="right" w:pos="360"/>
        <w:tab w:val="left" w:pos="1020"/>
        <w:tab w:val="left" w:pos="6060"/>
      </w:tabs>
      <w:spacing w:after="120" w:line="260" w:lineRule="atLeast"/>
      <w:jc w:val="center"/>
    </w:pPr>
    <w:rPr>
      <w:rFonts w:ascii="Helvetica" w:eastAsia="Times New Roman" w:hAnsi="Helvetica" w:cs="Times New Roman"/>
      <w:b/>
      <w:color w:val="000000"/>
      <w:sz w:val="24"/>
      <w:szCs w:val="20"/>
      <w:lang w:eastAsia="es-ES"/>
    </w:rPr>
  </w:style>
  <w:style w:type="paragraph" w:customStyle="1" w:styleId="anotacion0">
    <w:name w:val="anotacio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upcitexto">
    <w:name w:val="upcitexto"/>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bodytext210">
    <w:name w:val="bodytext21"/>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profesin">
    <w:name w:val="profesin"/>
    <w:basedOn w:val="Normal"/>
    <w:rsid w:val="00BB0611"/>
    <w:pPr>
      <w:spacing w:before="100" w:beforeAutospacing="1" w:after="100" w:afterAutospacing="1"/>
    </w:pPr>
    <w:rPr>
      <w:rFonts w:ascii="Times New Roman" w:eastAsia="Times New Roman" w:hAnsi="Times New Roman" w:cs="Times New Roman"/>
      <w:sz w:val="24"/>
      <w:szCs w:val="24"/>
      <w:lang w:val="es-ES" w:eastAsia="es-ES"/>
    </w:rPr>
  </w:style>
  <w:style w:type="paragraph" w:customStyle="1" w:styleId="hd1txt">
    <w:name w:val="hd1txt"/>
    <w:basedOn w:val="Normal"/>
    <w:rsid w:val="00BB0611"/>
    <w:pPr>
      <w:overflowPunct w:val="0"/>
      <w:autoSpaceDE w:val="0"/>
      <w:autoSpaceDN w:val="0"/>
      <w:adjustRightInd w:val="0"/>
      <w:spacing w:after="240"/>
      <w:textAlignment w:val="baseline"/>
    </w:pPr>
    <w:rPr>
      <w:rFonts w:ascii="Times New Roman" w:eastAsia="Times New Roman" w:hAnsi="Times New Roman" w:cs="Times New Roman"/>
      <w:sz w:val="20"/>
      <w:szCs w:val="20"/>
      <w:lang w:val="en-GB" w:eastAsia="es-ES"/>
    </w:rPr>
  </w:style>
  <w:style w:type="paragraph" w:styleId="Textoindependiente3">
    <w:name w:val="Body Text 3"/>
    <w:basedOn w:val="Normal"/>
    <w:link w:val="Textoindependiente3Car"/>
    <w:rsid w:val="00BB0611"/>
    <w:pPr>
      <w:overflowPunct w:val="0"/>
      <w:autoSpaceDE w:val="0"/>
      <w:autoSpaceDN w:val="0"/>
      <w:adjustRightInd w:val="0"/>
      <w:ind w:right="-522"/>
      <w:jc w:val="both"/>
      <w:textAlignment w:val="baseline"/>
    </w:pPr>
    <w:rPr>
      <w:rFonts w:ascii="Times New Roman" w:eastAsia="Times New Roman" w:hAnsi="Times New Roman" w:cs="Times New Roman"/>
      <w:sz w:val="24"/>
      <w:szCs w:val="20"/>
      <w:lang w:val="es-ES" w:eastAsia="es-ES"/>
    </w:rPr>
  </w:style>
  <w:style w:type="character" w:customStyle="1" w:styleId="Textoindependiente3Car">
    <w:name w:val="Texto independiente 3 Car"/>
    <w:basedOn w:val="Fuentedeprrafopredeter"/>
    <w:link w:val="Textoindependiente3"/>
    <w:rsid w:val="00BB0611"/>
    <w:rPr>
      <w:rFonts w:ascii="Times New Roman" w:eastAsia="Times New Roman" w:hAnsi="Times New Roman" w:cs="Times New Roman"/>
      <w:sz w:val="24"/>
      <w:szCs w:val="20"/>
      <w:lang w:val="es-ES" w:eastAsia="es-ES"/>
    </w:rPr>
  </w:style>
  <w:style w:type="paragraph" w:customStyle="1" w:styleId="cgtexconpaggra">
    <w:name w:val="cgtexconpaggra"/>
    <w:basedOn w:val="Normal"/>
    <w:rsid w:val="00BB0611"/>
    <w:pPr>
      <w:spacing w:before="100" w:beforeAutospacing="1" w:after="100" w:afterAutospacing="1"/>
    </w:pPr>
    <w:rPr>
      <w:rFonts w:ascii="Arial" w:eastAsia="Times New Roman" w:hAnsi="Arial" w:cs="Arial"/>
      <w:color w:val="000000"/>
      <w:sz w:val="17"/>
      <w:szCs w:val="17"/>
      <w:lang w:val="es-ES" w:eastAsia="es-ES"/>
    </w:rPr>
  </w:style>
  <w:style w:type="character" w:customStyle="1" w:styleId="cgtexconpaggra1">
    <w:name w:val="cgtexconpaggra1"/>
    <w:basedOn w:val="Fuentedeprrafopredeter"/>
    <w:rsid w:val="00BB0611"/>
    <w:rPr>
      <w:rFonts w:ascii="Arial" w:hAnsi="Arial" w:cs="Arial" w:hint="default"/>
      <w:color w:val="000000"/>
      <w:sz w:val="17"/>
      <w:szCs w:val="17"/>
    </w:rPr>
  </w:style>
  <w:style w:type="paragraph" w:styleId="Textodebloque">
    <w:name w:val="Block Text"/>
    <w:basedOn w:val="Normal"/>
    <w:rsid w:val="00BB0611"/>
    <w:pPr>
      <w:tabs>
        <w:tab w:val="num" w:pos="639"/>
      </w:tabs>
      <w:ind w:left="639" w:right="213"/>
      <w:jc w:val="both"/>
    </w:pPr>
    <w:rPr>
      <w:rFonts w:ascii="Arial" w:eastAsia="Times New Roman" w:hAnsi="Arial" w:cs="Times New Roman"/>
      <w:sz w:val="20"/>
      <w:szCs w:val="20"/>
      <w:lang w:val="es-ES_tradnl" w:eastAsia="es-ES"/>
    </w:rPr>
  </w:style>
  <w:style w:type="paragraph" w:styleId="Encabezado">
    <w:name w:val="header"/>
    <w:basedOn w:val="Normal"/>
    <w:link w:val="EncabezadoCar"/>
    <w:rsid w:val="00BB0611"/>
    <w:pPr>
      <w:tabs>
        <w:tab w:val="center" w:pos="4419"/>
        <w:tab w:val="right" w:pos="8838"/>
      </w:tabs>
    </w:pPr>
    <w:rPr>
      <w:rFonts w:ascii="Times New Roman" w:eastAsia="Times New Roman" w:hAnsi="Times New Roman" w:cs="Times New Roman"/>
      <w:sz w:val="20"/>
      <w:szCs w:val="20"/>
      <w:lang w:val="es-ES_tradnl" w:eastAsia="es-ES"/>
    </w:rPr>
  </w:style>
  <w:style w:type="character" w:customStyle="1" w:styleId="EncabezadoCar">
    <w:name w:val="Encabezado Car"/>
    <w:basedOn w:val="Fuentedeprrafopredeter"/>
    <w:link w:val="Encabezado"/>
    <w:rsid w:val="00BB0611"/>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BB0611"/>
  </w:style>
  <w:style w:type="paragraph" w:styleId="ndice5">
    <w:name w:val="index 5"/>
    <w:basedOn w:val="Normal"/>
    <w:next w:val="Normal"/>
    <w:autoRedefine/>
    <w:semiHidden/>
    <w:rsid w:val="00BB0611"/>
    <w:pPr>
      <w:overflowPunct w:val="0"/>
      <w:autoSpaceDE w:val="0"/>
      <w:autoSpaceDN w:val="0"/>
      <w:adjustRightInd w:val="0"/>
      <w:ind w:left="1200" w:hanging="240"/>
      <w:textAlignment w:val="baseline"/>
    </w:pPr>
    <w:rPr>
      <w:rFonts w:ascii="Times New Roman" w:eastAsia="Times New Roman" w:hAnsi="Times New Roman" w:cs="Times New Roman"/>
      <w:sz w:val="20"/>
      <w:szCs w:val="20"/>
      <w:lang w:val="es-ES" w:eastAsia="es-ES"/>
    </w:rPr>
  </w:style>
  <w:style w:type="paragraph" w:styleId="ndice6">
    <w:name w:val="index 6"/>
    <w:basedOn w:val="Normal"/>
    <w:next w:val="Normal"/>
    <w:autoRedefine/>
    <w:semiHidden/>
    <w:rsid w:val="00BB0611"/>
    <w:pPr>
      <w:overflowPunct w:val="0"/>
      <w:autoSpaceDE w:val="0"/>
      <w:autoSpaceDN w:val="0"/>
      <w:adjustRightInd w:val="0"/>
      <w:ind w:left="1440" w:hanging="240"/>
      <w:textAlignment w:val="baseline"/>
    </w:pPr>
    <w:rPr>
      <w:rFonts w:ascii="Times New Roman" w:eastAsia="Times New Roman" w:hAnsi="Times New Roman" w:cs="Times New Roman"/>
      <w:sz w:val="20"/>
      <w:szCs w:val="20"/>
      <w:lang w:val="es-ES" w:eastAsia="es-ES"/>
    </w:rPr>
  </w:style>
  <w:style w:type="character" w:styleId="Hipervnculo">
    <w:name w:val="Hyperlink"/>
    <w:basedOn w:val="Fuentedeprrafopredeter"/>
    <w:uiPriority w:val="99"/>
    <w:rsid w:val="00BB0611"/>
    <w:rPr>
      <w:color w:val="0000FF"/>
      <w:u w:val="single"/>
    </w:rPr>
  </w:style>
  <w:style w:type="character" w:styleId="Hipervnculovisitado">
    <w:name w:val="FollowedHyperlink"/>
    <w:basedOn w:val="Fuentedeprrafopredeter"/>
    <w:uiPriority w:val="99"/>
    <w:rsid w:val="00BB0611"/>
    <w:rPr>
      <w:color w:val="800080"/>
      <w:u w:val="single"/>
    </w:rPr>
  </w:style>
  <w:style w:type="character" w:customStyle="1" w:styleId="Heading1CharCharChar">
    <w:name w:val="Heading 1 Char Char Char"/>
    <w:basedOn w:val="Fuentedeprrafopredeter"/>
    <w:rsid w:val="00BB0611"/>
    <w:rPr>
      <w:rFonts w:ascii="Arial" w:hAnsi="Arial" w:cs="Arial"/>
      <w:b/>
      <w:bCs/>
      <w:kern w:val="32"/>
      <w:sz w:val="32"/>
      <w:szCs w:val="32"/>
      <w:lang w:val="es-ES" w:eastAsia="es-ES" w:bidi="ar-SA"/>
    </w:rPr>
  </w:style>
  <w:style w:type="paragraph" w:styleId="Textonotapie">
    <w:name w:val="footnote text"/>
    <w:basedOn w:val="Normal"/>
    <w:link w:val="TextonotapieCar"/>
    <w:semiHidden/>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BB0611"/>
    <w:rPr>
      <w:rFonts w:ascii="Times New Roman" w:eastAsia="Times New Roman" w:hAnsi="Times New Roman" w:cs="Times New Roman"/>
      <w:sz w:val="20"/>
      <w:szCs w:val="20"/>
      <w:lang w:val="es-ES" w:eastAsia="es-ES"/>
    </w:rPr>
  </w:style>
  <w:style w:type="character" w:styleId="Refdenotaalpie">
    <w:name w:val="footnote reference"/>
    <w:basedOn w:val="Fuentedeprrafopredeter"/>
    <w:semiHidden/>
    <w:rsid w:val="00BB0611"/>
    <w:rPr>
      <w:vertAlign w:val="superscript"/>
    </w:rPr>
  </w:style>
  <w:style w:type="paragraph" w:customStyle="1" w:styleId="Prrafo1">
    <w:name w:val="Párrafo 1"/>
    <w:basedOn w:val="Normal"/>
    <w:rsid w:val="00BB0611"/>
    <w:pPr>
      <w:spacing w:after="120"/>
      <w:ind w:left="567"/>
      <w:jc w:val="both"/>
    </w:pPr>
    <w:rPr>
      <w:rFonts w:ascii="Times New Roman" w:eastAsia="Times New Roman" w:hAnsi="Times New Roman" w:cs="Times New Roman"/>
      <w:sz w:val="20"/>
      <w:szCs w:val="24"/>
      <w:lang w:val="es-MX" w:eastAsia="es-MX"/>
    </w:rPr>
  </w:style>
  <w:style w:type="paragraph" w:styleId="Textodeglobo">
    <w:name w:val="Balloon Text"/>
    <w:basedOn w:val="Normal"/>
    <w:link w:val="TextodegloboCar"/>
    <w:uiPriority w:val="99"/>
    <w:semiHidden/>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BB0611"/>
    <w:rPr>
      <w:rFonts w:ascii="Tahoma" w:eastAsia="Times New Roman" w:hAnsi="Tahoma" w:cs="Tahoma"/>
      <w:sz w:val="16"/>
      <w:szCs w:val="16"/>
      <w:lang w:val="es-ES" w:eastAsia="es-ES"/>
    </w:rPr>
  </w:style>
  <w:style w:type="paragraph" w:customStyle="1" w:styleId="Estndar">
    <w:name w:val="Estándar"/>
    <w:basedOn w:val="Normal"/>
    <w:rsid w:val="00BB0611"/>
    <w:pPr>
      <w:autoSpaceDE w:val="0"/>
      <w:autoSpaceDN w:val="0"/>
      <w:adjustRightInd w:val="0"/>
    </w:pPr>
    <w:rPr>
      <w:rFonts w:ascii="Times New Roman" w:eastAsia="Times New Roman" w:hAnsi="Times New Roman" w:cs="Times New Roman"/>
      <w:sz w:val="24"/>
      <w:szCs w:val="24"/>
      <w:lang w:eastAsia="es-ES"/>
    </w:rPr>
  </w:style>
  <w:style w:type="paragraph" w:customStyle="1" w:styleId="p9">
    <w:name w:val="p9"/>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4">
    <w:name w:val="p4"/>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6">
    <w:name w:val="p6"/>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41">
    <w:name w:val="p41"/>
    <w:basedOn w:val="Normal"/>
    <w:rsid w:val="00BB0611"/>
    <w:pPr>
      <w:tabs>
        <w:tab w:val="left" w:pos="720"/>
        <w:tab w:val="left" w:pos="1300"/>
      </w:tabs>
      <w:spacing w:line="280" w:lineRule="atLeast"/>
      <w:ind w:left="1440" w:firstLine="720"/>
    </w:pPr>
    <w:rPr>
      <w:rFonts w:ascii="Arial" w:eastAsia="Times New Roman" w:hAnsi="Arial" w:cs="Times New Roman"/>
      <w:sz w:val="24"/>
      <w:szCs w:val="20"/>
      <w:lang w:val="es-ES_tradnl"/>
    </w:rPr>
  </w:style>
  <w:style w:type="paragraph" w:customStyle="1" w:styleId="p8">
    <w:name w:val="p8"/>
    <w:basedOn w:val="Normal"/>
    <w:rsid w:val="00BB0611"/>
    <w:pPr>
      <w:tabs>
        <w:tab w:val="left" w:pos="760"/>
      </w:tabs>
      <w:spacing w:line="280" w:lineRule="atLeast"/>
      <w:ind w:left="1440" w:firstLine="720"/>
      <w:jc w:val="both"/>
    </w:pPr>
    <w:rPr>
      <w:rFonts w:ascii="Arial" w:eastAsia="Times New Roman" w:hAnsi="Arial" w:cs="Times New Roman"/>
      <w:sz w:val="24"/>
      <w:szCs w:val="20"/>
      <w:lang w:val="es-ES_tradnl"/>
    </w:rPr>
  </w:style>
  <w:style w:type="paragraph" w:customStyle="1" w:styleId="p26">
    <w:name w:val="p26"/>
    <w:basedOn w:val="Normal"/>
    <w:rsid w:val="00BB0611"/>
    <w:pPr>
      <w:tabs>
        <w:tab w:val="left" w:pos="720"/>
      </w:tabs>
      <w:spacing w:line="280" w:lineRule="atLeast"/>
    </w:pPr>
    <w:rPr>
      <w:rFonts w:ascii="Arial" w:eastAsia="Times New Roman" w:hAnsi="Arial" w:cs="Times New Roman"/>
      <w:sz w:val="24"/>
      <w:szCs w:val="20"/>
      <w:lang w:val="es-ES_tradnl"/>
    </w:rPr>
  </w:style>
  <w:style w:type="paragraph" w:customStyle="1" w:styleId="p31">
    <w:name w:val="p31"/>
    <w:basedOn w:val="Normal"/>
    <w:rsid w:val="00BB0611"/>
    <w:pPr>
      <w:tabs>
        <w:tab w:val="left" w:pos="500"/>
      </w:tabs>
      <w:spacing w:line="280" w:lineRule="atLeast"/>
      <w:ind w:left="940"/>
      <w:jc w:val="both"/>
    </w:pPr>
    <w:rPr>
      <w:rFonts w:ascii="Arial" w:eastAsia="Times New Roman" w:hAnsi="Arial" w:cs="Times New Roman"/>
      <w:sz w:val="24"/>
      <w:szCs w:val="20"/>
      <w:lang w:val="es-ES_tradnl"/>
    </w:rPr>
  </w:style>
  <w:style w:type="paragraph" w:customStyle="1" w:styleId="p15">
    <w:name w:val="p15"/>
    <w:basedOn w:val="Normal"/>
    <w:rsid w:val="00BB0611"/>
    <w:pPr>
      <w:tabs>
        <w:tab w:val="left" w:pos="740"/>
      </w:tabs>
      <w:spacing w:line="280" w:lineRule="atLeast"/>
      <w:ind w:left="1440" w:firstLine="720"/>
      <w:jc w:val="both"/>
    </w:pPr>
    <w:rPr>
      <w:rFonts w:ascii="Arial" w:eastAsia="Times New Roman" w:hAnsi="Arial" w:cs="Times New Roman"/>
      <w:sz w:val="24"/>
      <w:szCs w:val="20"/>
      <w:lang w:val="es-ES_tradnl"/>
    </w:rPr>
  </w:style>
  <w:style w:type="paragraph" w:customStyle="1" w:styleId="p21">
    <w:name w:val="p21"/>
    <w:basedOn w:val="Normal"/>
    <w:rsid w:val="00BB0611"/>
    <w:pPr>
      <w:tabs>
        <w:tab w:val="left" w:pos="54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10">
    <w:name w:val="p10"/>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2">
    <w:name w:val="p12"/>
    <w:basedOn w:val="Normal"/>
    <w:rsid w:val="00BB0611"/>
    <w:pPr>
      <w:tabs>
        <w:tab w:val="left" w:pos="720"/>
      </w:tabs>
      <w:spacing w:line="280" w:lineRule="atLeast"/>
      <w:jc w:val="both"/>
    </w:pPr>
    <w:rPr>
      <w:rFonts w:ascii="Arial" w:eastAsia="Times New Roman" w:hAnsi="Arial" w:cs="Times New Roman"/>
      <w:sz w:val="24"/>
      <w:szCs w:val="20"/>
      <w:lang w:val="es-ES_tradnl"/>
    </w:rPr>
  </w:style>
  <w:style w:type="paragraph" w:customStyle="1" w:styleId="p19">
    <w:name w:val="p19"/>
    <w:basedOn w:val="Normal"/>
    <w:rsid w:val="00BB0611"/>
    <w:pPr>
      <w:tabs>
        <w:tab w:val="left" w:pos="1640"/>
      </w:tabs>
      <w:spacing w:line="240" w:lineRule="atLeast"/>
      <w:ind w:left="200"/>
    </w:pPr>
    <w:rPr>
      <w:rFonts w:ascii="Arial" w:eastAsia="Times New Roman" w:hAnsi="Arial" w:cs="Times New Roman"/>
      <w:sz w:val="24"/>
      <w:szCs w:val="20"/>
      <w:lang w:val="es-ES_tradnl"/>
    </w:rPr>
  </w:style>
  <w:style w:type="paragraph" w:customStyle="1" w:styleId="p24">
    <w:name w:val="p24"/>
    <w:basedOn w:val="Normal"/>
    <w:rsid w:val="00BB0611"/>
    <w:pPr>
      <w:tabs>
        <w:tab w:val="left" w:pos="580"/>
        <w:tab w:val="left" w:pos="1120"/>
      </w:tabs>
      <w:spacing w:line="280" w:lineRule="atLeast"/>
      <w:ind w:left="1440" w:firstLine="576"/>
    </w:pPr>
    <w:rPr>
      <w:rFonts w:ascii="Arial" w:eastAsia="Times New Roman" w:hAnsi="Arial" w:cs="Times New Roman"/>
      <w:sz w:val="24"/>
      <w:szCs w:val="20"/>
      <w:lang w:val="es-ES_tradnl"/>
    </w:rPr>
  </w:style>
  <w:style w:type="paragraph" w:customStyle="1" w:styleId="p22">
    <w:name w:val="p22"/>
    <w:basedOn w:val="Normal"/>
    <w:rsid w:val="00BB0611"/>
    <w:pPr>
      <w:tabs>
        <w:tab w:val="left" w:pos="1500"/>
        <w:tab w:val="left" w:pos="1660"/>
      </w:tabs>
      <w:spacing w:line="280" w:lineRule="atLeast"/>
      <w:ind w:left="288" w:hanging="288"/>
    </w:pPr>
    <w:rPr>
      <w:rFonts w:ascii="Arial" w:eastAsia="Times New Roman" w:hAnsi="Arial" w:cs="Times New Roman"/>
      <w:sz w:val="24"/>
      <w:szCs w:val="20"/>
      <w:lang w:val="es-ES_tradnl"/>
    </w:rPr>
  </w:style>
  <w:style w:type="paragraph" w:customStyle="1" w:styleId="p25">
    <w:name w:val="p25"/>
    <w:basedOn w:val="Normal"/>
    <w:rsid w:val="00BB0611"/>
    <w:pPr>
      <w:tabs>
        <w:tab w:val="left" w:pos="300"/>
      </w:tabs>
      <w:spacing w:line="280" w:lineRule="atLeast"/>
    </w:pPr>
    <w:rPr>
      <w:rFonts w:ascii="Arial" w:eastAsia="Times New Roman" w:hAnsi="Arial" w:cs="Times New Roman"/>
      <w:sz w:val="24"/>
      <w:szCs w:val="20"/>
      <w:lang w:val="es-ES_tradnl"/>
    </w:rPr>
  </w:style>
  <w:style w:type="paragraph" w:customStyle="1" w:styleId="p16">
    <w:name w:val="p16"/>
    <w:basedOn w:val="Normal"/>
    <w:rsid w:val="00BB0611"/>
    <w:pPr>
      <w:tabs>
        <w:tab w:val="left" w:pos="720"/>
        <w:tab w:val="left" w:pos="1300"/>
      </w:tabs>
      <w:spacing w:line="280" w:lineRule="atLeast"/>
      <w:ind w:left="1440" w:firstLine="720"/>
      <w:jc w:val="both"/>
    </w:pPr>
    <w:rPr>
      <w:rFonts w:ascii="Arial" w:eastAsia="Times New Roman" w:hAnsi="Arial" w:cs="Times New Roman"/>
      <w:sz w:val="24"/>
      <w:szCs w:val="20"/>
      <w:lang w:val="es-ES_tradnl"/>
    </w:rPr>
  </w:style>
  <w:style w:type="paragraph" w:customStyle="1" w:styleId="p13">
    <w:name w:val="p13"/>
    <w:basedOn w:val="Normal"/>
    <w:rsid w:val="00BB0611"/>
    <w:pPr>
      <w:tabs>
        <w:tab w:val="left" w:pos="740"/>
      </w:tabs>
      <w:spacing w:line="940" w:lineRule="atLeast"/>
      <w:ind w:left="1440" w:firstLine="720"/>
      <w:jc w:val="both"/>
    </w:pPr>
    <w:rPr>
      <w:rFonts w:ascii="Arial" w:eastAsia="Times New Roman" w:hAnsi="Arial" w:cs="Times New Roman"/>
      <w:sz w:val="24"/>
      <w:szCs w:val="20"/>
      <w:lang w:val="es-ES_tradnl"/>
    </w:rPr>
  </w:style>
  <w:style w:type="paragraph" w:customStyle="1" w:styleId="p11">
    <w:name w:val="p11"/>
    <w:basedOn w:val="Normal"/>
    <w:rsid w:val="00BB0611"/>
    <w:pPr>
      <w:tabs>
        <w:tab w:val="left" w:pos="720"/>
      </w:tabs>
      <w:spacing w:line="280" w:lineRule="atLeast"/>
      <w:ind w:left="1440" w:firstLine="720"/>
      <w:jc w:val="both"/>
    </w:pPr>
    <w:rPr>
      <w:rFonts w:ascii="Arial" w:eastAsia="Times New Roman" w:hAnsi="Arial" w:cs="Times New Roman"/>
      <w:sz w:val="24"/>
      <w:szCs w:val="20"/>
      <w:lang w:val="es-ES_tradnl"/>
    </w:rPr>
  </w:style>
  <w:style w:type="character" w:customStyle="1" w:styleId="AsuntodelcomentarioCar">
    <w:name w:val="Asunto del comentario Car"/>
    <w:basedOn w:val="TextocomentarioCar"/>
    <w:link w:val="Asuntodelcomentario"/>
    <w:uiPriority w:val="99"/>
    <w:semiHidden/>
    <w:rsid w:val="00BB0611"/>
    <w:rPr>
      <w:rFonts w:ascii="Times New Roman" w:eastAsia="Times New Roman" w:hAnsi="Times New Roman" w:cs="Times New Roman"/>
      <w:b/>
      <w:bCs/>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BB0611"/>
    <w:pPr>
      <w:overflowPunct w:val="0"/>
      <w:autoSpaceDE w:val="0"/>
      <w:autoSpaceDN w:val="0"/>
      <w:adjustRightInd w:val="0"/>
      <w:textAlignment w:val="baseline"/>
    </w:pPr>
    <w:rPr>
      <w:b/>
      <w:bCs/>
    </w:rPr>
  </w:style>
  <w:style w:type="character" w:customStyle="1" w:styleId="CommentSubjectChar1">
    <w:name w:val="Comment Subject Char1"/>
    <w:basedOn w:val="TextocomentarioCar"/>
    <w:uiPriority w:val="99"/>
    <w:semiHidden/>
    <w:rsid w:val="00BB0611"/>
    <w:rPr>
      <w:rFonts w:ascii="Times New Roman" w:eastAsia="Times New Roman" w:hAnsi="Times New Roman" w:cs="Times New Roman"/>
      <w:b/>
      <w:bCs/>
      <w:sz w:val="20"/>
      <w:szCs w:val="20"/>
      <w:lang w:val="es-ES_tradnl" w:eastAsia="es-ES"/>
    </w:rPr>
  </w:style>
  <w:style w:type="character" w:customStyle="1" w:styleId="AsuntodelcomentarioCar1">
    <w:name w:val="Asunto del comentario Car1"/>
    <w:basedOn w:val="TextocomentarioCar"/>
    <w:uiPriority w:val="99"/>
    <w:semiHidden/>
    <w:rsid w:val="00BB0611"/>
    <w:rPr>
      <w:rFonts w:ascii="Times New Roman" w:eastAsia="Times New Roman" w:hAnsi="Times New Roman" w:cs="Times New Roman"/>
      <w:b/>
      <w:bCs/>
      <w:sz w:val="20"/>
      <w:szCs w:val="20"/>
      <w:lang w:val="es-ES_tradnl" w:eastAsia="es-ES"/>
    </w:rPr>
  </w:style>
  <w:style w:type="paragraph" w:customStyle="1" w:styleId="p14">
    <w:name w:val="p14"/>
    <w:basedOn w:val="Normal"/>
    <w:rsid w:val="00BB0611"/>
    <w:pPr>
      <w:tabs>
        <w:tab w:val="left" w:pos="8540"/>
      </w:tabs>
      <w:spacing w:line="240" w:lineRule="atLeast"/>
      <w:ind w:left="7100"/>
      <w:jc w:val="both"/>
    </w:pPr>
    <w:rPr>
      <w:rFonts w:ascii="Arial" w:eastAsia="Times New Roman" w:hAnsi="Arial" w:cs="Times New Roman"/>
      <w:sz w:val="24"/>
      <w:szCs w:val="20"/>
      <w:lang w:val="es-ES_tradnl"/>
    </w:rPr>
  </w:style>
  <w:style w:type="paragraph" w:customStyle="1" w:styleId="p18">
    <w:name w:val="p18"/>
    <w:basedOn w:val="Normal"/>
    <w:rsid w:val="00BB0611"/>
    <w:pPr>
      <w:tabs>
        <w:tab w:val="left" w:pos="1500"/>
        <w:tab w:val="left" w:pos="1660"/>
      </w:tabs>
      <w:spacing w:line="240" w:lineRule="atLeast"/>
      <w:ind w:left="288" w:hanging="288"/>
      <w:jc w:val="both"/>
    </w:pPr>
    <w:rPr>
      <w:rFonts w:ascii="Arial" w:eastAsia="Times New Roman" w:hAnsi="Arial" w:cs="Times New Roman"/>
      <w:sz w:val="24"/>
      <w:szCs w:val="20"/>
      <w:lang w:val="es-ES_tradnl"/>
    </w:rPr>
  </w:style>
  <w:style w:type="paragraph" w:customStyle="1" w:styleId="p27">
    <w:name w:val="p27"/>
    <w:basedOn w:val="Normal"/>
    <w:rsid w:val="00BB0611"/>
    <w:pPr>
      <w:tabs>
        <w:tab w:val="left" w:pos="740"/>
        <w:tab w:val="left" w:pos="1500"/>
      </w:tabs>
      <w:spacing w:line="280" w:lineRule="atLeast"/>
      <w:ind w:left="700"/>
      <w:jc w:val="both"/>
    </w:pPr>
    <w:rPr>
      <w:rFonts w:ascii="Arial" w:eastAsia="Times New Roman" w:hAnsi="Arial" w:cs="Times New Roman"/>
      <w:sz w:val="24"/>
      <w:szCs w:val="20"/>
      <w:lang w:val="es-ES_tradnl"/>
    </w:rPr>
  </w:style>
  <w:style w:type="paragraph" w:customStyle="1" w:styleId="p30">
    <w:name w:val="p30"/>
    <w:basedOn w:val="Normal"/>
    <w:rsid w:val="00BB0611"/>
    <w:pPr>
      <w:tabs>
        <w:tab w:val="left" w:pos="760"/>
        <w:tab w:val="left" w:pos="1320"/>
      </w:tabs>
      <w:spacing w:line="280" w:lineRule="atLeast"/>
      <w:ind w:left="1440" w:firstLine="720"/>
      <w:jc w:val="both"/>
    </w:pPr>
    <w:rPr>
      <w:rFonts w:ascii="Arial" w:eastAsia="Times New Roman" w:hAnsi="Arial" w:cs="Times New Roman"/>
      <w:sz w:val="24"/>
      <w:szCs w:val="20"/>
      <w:lang w:val="es-ES_tradnl"/>
    </w:rPr>
  </w:style>
  <w:style w:type="paragraph" w:customStyle="1" w:styleId="p2">
    <w:name w:val="p2"/>
    <w:basedOn w:val="Normal"/>
    <w:rsid w:val="00BB0611"/>
    <w:pPr>
      <w:tabs>
        <w:tab w:val="left" w:pos="600"/>
        <w:tab w:val="left" w:pos="1160"/>
      </w:tabs>
      <w:spacing w:line="280" w:lineRule="atLeast"/>
      <w:ind w:left="1440" w:firstLine="576"/>
      <w:jc w:val="both"/>
    </w:pPr>
    <w:rPr>
      <w:rFonts w:ascii="Arial" w:eastAsia="Times New Roman" w:hAnsi="Arial" w:cs="Times New Roman"/>
      <w:sz w:val="24"/>
      <w:szCs w:val="20"/>
      <w:lang w:val="es-ES_tradnl"/>
    </w:rPr>
  </w:style>
  <w:style w:type="paragraph" w:customStyle="1" w:styleId="p38">
    <w:name w:val="p38"/>
    <w:basedOn w:val="Normal"/>
    <w:rsid w:val="00BB0611"/>
    <w:pPr>
      <w:tabs>
        <w:tab w:val="left" w:pos="580"/>
        <w:tab w:val="left" w:pos="1260"/>
      </w:tabs>
      <w:spacing w:line="280" w:lineRule="atLeast"/>
      <w:ind w:left="1440" w:firstLine="576"/>
    </w:pPr>
    <w:rPr>
      <w:rFonts w:ascii="Arial" w:eastAsia="Times New Roman" w:hAnsi="Arial" w:cs="Times New Roman"/>
      <w:sz w:val="24"/>
      <w:szCs w:val="20"/>
      <w:lang w:val="es-ES_tradnl"/>
    </w:rPr>
  </w:style>
  <w:style w:type="paragraph" w:customStyle="1" w:styleId="p39">
    <w:name w:val="p39"/>
    <w:basedOn w:val="Normal"/>
    <w:rsid w:val="00BB0611"/>
    <w:pPr>
      <w:tabs>
        <w:tab w:val="left" w:pos="580"/>
        <w:tab w:val="left" w:pos="1440"/>
      </w:tabs>
      <w:spacing w:line="280" w:lineRule="atLeast"/>
      <w:ind w:left="860"/>
    </w:pPr>
    <w:rPr>
      <w:rFonts w:ascii="Arial" w:eastAsia="Times New Roman" w:hAnsi="Arial" w:cs="Times New Roman"/>
      <w:sz w:val="24"/>
      <w:szCs w:val="20"/>
      <w:lang w:val="es-ES_tradnl"/>
    </w:rPr>
  </w:style>
  <w:style w:type="paragraph" w:customStyle="1" w:styleId="p40">
    <w:name w:val="p40"/>
    <w:basedOn w:val="Normal"/>
    <w:rsid w:val="00BB0611"/>
    <w:pPr>
      <w:tabs>
        <w:tab w:val="left" w:pos="580"/>
        <w:tab w:val="left" w:pos="1500"/>
      </w:tabs>
      <w:spacing w:line="280" w:lineRule="atLeast"/>
      <w:ind w:left="860"/>
    </w:pPr>
    <w:rPr>
      <w:rFonts w:ascii="Arial" w:eastAsia="Times New Roman" w:hAnsi="Arial" w:cs="Times New Roman"/>
      <w:sz w:val="24"/>
      <w:szCs w:val="20"/>
      <w:lang w:val="es-ES_tradnl"/>
    </w:rPr>
  </w:style>
  <w:style w:type="paragraph" w:customStyle="1" w:styleId="Texto1">
    <w:name w:val="Texto"/>
    <w:basedOn w:val="Normal"/>
    <w:link w:val="TextoCar"/>
    <w:rsid w:val="00BB0611"/>
    <w:pPr>
      <w:widowControl w:val="0"/>
      <w:adjustRightInd w:val="0"/>
      <w:spacing w:after="101" w:line="216" w:lineRule="exact"/>
      <w:jc w:val="both"/>
      <w:textAlignment w:val="baseline"/>
    </w:pPr>
    <w:rPr>
      <w:rFonts w:ascii="Arial" w:eastAsia="Times New Roman" w:hAnsi="Arial" w:cs="Arial"/>
      <w:sz w:val="18"/>
      <w:szCs w:val="20"/>
      <w:lang w:val="es-ES" w:eastAsia="es-ES"/>
    </w:rPr>
  </w:style>
  <w:style w:type="table" w:styleId="Tablaconcuadrcula">
    <w:name w:val="Table Grid"/>
    <w:basedOn w:val="Tablanormal"/>
    <w:uiPriority w:val="59"/>
    <w:rsid w:val="00BB0611"/>
    <w:rPr>
      <w:lang w:val="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efdecomentario">
    <w:name w:val="annotation reference"/>
    <w:basedOn w:val="Fuentedeprrafopredeter"/>
    <w:uiPriority w:val="99"/>
    <w:semiHidden/>
    <w:unhideWhenUsed/>
    <w:rsid w:val="00BB0611"/>
    <w:rPr>
      <w:sz w:val="16"/>
      <w:szCs w:val="16"/>
    </w:rPr>
  </w:style>
  <w:style w:type="paragraph" w:customStyle="1" w:styleId="Default">
    <w:name w:val="Default"/>
    <w:rsid w:val="00BB0611"/>
    <w:pPr>
      <w:autoSpaceDE w:val="0"/>
      <w:autoSpaceDN w:val="0"/>
      <w:adjustRightInd w:val="0"/>
    </w:pPr>
    <w:rPr>
      <w:rFonts w:ascii="Arial" w:hAnsi="Arial" w:cs="Arial"/>
      <w:color w:val="000000"/>
      <w:sz w:val="24"/>
      <w:szCs w:val="24"/>
    </w:rPr>
  </w:style>
  <w:style w:type="paragraph" w:customStyle="1" w:styleId="CM51">
    <w:name w:val="CM51"/>
    <w:basedOn w:val="Default"/>
    <w:next w:val="Default"/>
    <w:uiPriority w:val="99"/>
    <w:rsid w:val="00BB0611"/>
    <w:pPr>
      <w:widowControl w:val="0"/>
    </w:pPr>
    <w:rPr>
      <w:rFonts w:ascii="Times New Roman" w:eastAsiaTheme="minorEastAsia" w:hAnsi="Times New Roman" w:cs="Times New Roman"/>
      <w:color w:val="auto"/>
      <w:lang w:val="es-ES" w:eastAsia="es-ES"/>
    </w:rPr>
  </w:style>
  <w:style w:type="character" w:styleId="Textoennegrita">
    <w:name w:val="Strong"/>
    <w:basedOn w:val="Fuentedeprrafopredeter"/>
    <w:qFormat/>
    <w:rsid w:val="00BB0611"/>
    <w:rPr>
      <w:b/>
      <w:bCs/>
    </w:rPr>
  </w:style>
  <w:style w:type="paragraph" w:styleId="Lista">
    <w:name w:val="List"/>
    <w:basedOn w:val="Normal"/>
    <w:uiPriority w:val="99"/>
    <w:unhideWhenUsed/>
    <w:rsid w:val="00BB0611"/>
    <w:pPr>
      <w:overflowPunct w:val="0"/>
      <w:autoSpaceDE w:val="0"/>
      <w:autoSpaceDN w:val="0"/>
      <w:adjustRightInd w:val="0"/>
      <w:ind w:left="283" w:hanging="283"/>
      <w:contextualSpacing/>
      <w:textAlignment w:val="baseline"/>
    </w:pPr>
    <w:rPr>
      <w:rFonts w:ascii="Times New Roman" w:eastAsia="Times New Roman" w:hAnsi="Times New Roman" w:cs="Times New Roman"/>
      <w:sz w:val="24"/>
      <w:szCs w:val="20"/>
      <w:lang w:val="es-ES" w:eastAsia="es-ES"/>
    </w:rPr>
  </w:style>
  <w:style w:type="paragraph" w:styleId="Lista2">
    <w:name w:val="List 2"/>
    <w:basedOn w:val="Normal"/>
    <w:uiPriority w:val="99"/>
    <w:unhideWhenUsed/>
    <w:rsid w:val="00BB0611"/>
    <w:pPr>
      <w:overflowPunct w:val="0"/>
      <w:autoSpaceDE w:val="0"/>
      <w:autoSpaceDN w:val="0"/>
      <w:adjustRightInd w:val="0"/>
      <w:ind w:left="566" w:hanging="283"/>
      <w:contextualSpacing/>
      <w:textAlignment w:val="baseline"/>
    </w:pPr>
    <w:rPr>
      <w:rFonts w:ascii="Times New Roman" w:eastAsia="Times New Roman" w:hAnsi="Times New Roman" w:cs="Times New Roman"/>
      <w:sz w:val="24"/>
      <w:szCs w:val="20"/>
      <w:lang w:val="es-ES" w:eastAsia="es-ES"/>
    </w:rPr>
  </w:style>
  <w:style w:type="paragraph" w:styleId="Lista3">
    <w:name w:val="List 3"/>
    <w:basedOn w:val="Normal"/>
    <w:uiPriority w:val="99"/>
    <w:unhideWhenUsed/>
    <w:rsid w:val="00BB0611"/>
    <w:pPr>
      <w:overflowPunct w:val="0"/>
      <w:autoSpaceDE w:val="0"/>
      <w:autoSpaceDN w:val="0"/>
      <w:adjustRightInd w:val="0"/>
      <w:ind w:left="849" w:hanging="283"/>
      <w:contextualSpacing/>
      <w:textAlignment w:val="baseline"/>
    </w:pPr>
    <w:rPr>
      <w:rFonts w:ascii="Times New Roman" w:eastAsia="Times New Roman" w:hAnsi="Times New Roman" w:cs="Times New Roman"/>
      <w:sz w:val="24"/>
      <w:szCs w:val="20"/>
      <w:lang w:val="es-ES" w:eastAsia="es-ES"/>
    </w:rPr>
  </w:style>
  <w:style w:type="paragraph" w:styleId="Lista4">
    <w:name w:val="List 4"/>
    <w:basedOn w:val="Normal"/>
    <w:uiPriority w:val="99"/>
    <w:unhideWhenUsed/>
    <w:rsid w:val="00BB0611"/>
    <w:pPr>
      <w:overflowPunct w:val="0"/>
      <w:autoSpaceDE w:val="0"/>
      <w:autoSpaceDN w:val="0"/>
      <w:adjustRightInd w:val="0"/>
      <w:ind w:left="1132" w:hanging="283"/>
      <w:contextualSpacing/>
      <w:textAlignment w:val="baseline"/>
    </w:pPr>
    <w:rPr>
      <w:rFonts w:ascii="Times New Roman" w:eastAsia="Times New Roman" w:hAnsi="Times New Roman" w:cs="Times New Roman"/>
      <w:sz w:val="24"/>
      <w:szCs w:val="20"/>
      <w:lang w:val="es-ES" w:eastAsia="es-ES"/>
    </w:rPr>
  </w:style>
  <w:style w:type="paragraph" w:styleId="Lista5">
    <w:name w:val="List 5"/>
    <w:basedOn w:val="Normal"/>
    <w:uiPriority w:val="99"/>
    <w:unhideWhenUsed/>
    <w:rsid w:val="00BB0611"/>
    <w:pPr>
      <w:overflowPunct w:val="0"/>
      <w:autoSpaceDE w:val="0"/>
      <w:autoSpaceDN w:val="0"/>
      <w:adjustRightInd w:val="0"/>
      <w:ind w:left="1415" w:hanging="283"/>
      <w:contextualSpacing/>
      <w:textAlignment w:val="baseline"/>
    </w:pPr>
    <w:rPr>
      <w:rFonts w:ascii="Times New Roman" w:eastAsia="Times New Roman" w:hAnsi="Times New Roman" w:cs="Times New Roman"/>
      <w:sz w:val="24"/>
      <w:szCs w:val="20"/>
      <w:lang w:val="es-ES" w:eastAsia="es-ES"/>
    </w:rPr>
  </w:style>
  <w:style w:type="paragraph" w:styleId="Listaconvietas">
    <w:name w:val="List Bullet"/>
    <w:basedOn w:val="Normal"/>
    <w:uiPriority w:val="99"/>
    <w:unhideWhenUsed/>
    <w:rsid w:val="00BB0611"/>
    <w:pPr>
      <w:numPr>
        <w:numId w:val="5"/>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2">
    <w:name w:val="List Bullet 2"/>
    <w:basedOn w:val="Normal"/>
    <w:uiPriority w:val="99"/>
    <w:unhideWhenUsed/>
    <w:rsid w:val="00BB0611"/>
    <w:pPr>
      <w:numPr>
        <w:numId w:val="6"/>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4">
    <w:name w:val="List Bullet 4"/>
    <w:basedOn w:val="Normal"/>
    <w:uiPriority w:val="99"/>
    <w:unhideWhenUsed/>
    <w:rsid w:val="00BB0611"/>
    <w:pPr>
      <w:numPr>
        <w:numId w:val="7"/>
      </w:num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Listaconvietas5">
    <w:name w:val="List Bullet 5"/>
    <w:basedOn w:val="Normal"/>
    <w:uiPriority w:val="99"/>
    <w:unhideWhenUsed/>
    <w:rsid w:val="00BB0611"/>
    <w:pPr>
      <w:overflowPunct w:val="0"/>
      <w:autoSpaceDE w:val="0"/>
      <w:autoSpaceDN w:val="0"/>
      <w:adjustRightInd w:val="0"/>
      <w:contextualSpacing/>
      <w:textAlignment w:val="baseline"/>
    </w:pPr>
    <w:rPr>
      <w:rFonts w:ascii="Times New Roman" w:eastAsia="Times New Roman" w:hAnsi="Times New Roman" w:cs="Times New Roman"/>
      <w:sz w:val="24"/>
      <w:szCs w:val="20"/>
      <w:lang w:val="es-ES" w:eastAsia="es-ES"/>
    </w:rPr>
  </w:style>
  <w:style w:type="paragraph" w:styleId="Continuarlista">
    <w:name w:val="List Continue"/>
    <w:basedOn w:val="Normal"/>
    <w:uiPriority w:val="99"/>
    <w:unhideWhenUsed/>
    <w:rsid w:val="00BB0611"/>
    <w:pPr>
      <w:overflowPunct w:val="0"/>
      <w:autoSpaceDE w:val="0"/>
      <w:autoSpaceDN w:val="0"/>
      <w:adjustRightInd w:val="0"/>
      <w:spacing w:after="120"/>
      <w:ind w:left="283"/>
      <w:contextualSpacing/>
      <w:textAlignment w:val="baseline"/>
    </w:pPr>
    <w:rPr>
      <w:rFonts w:ascii="Times New Roman" w:eastAsia="Times New Roman" w:hAnsi="Times New Roman" w:cs="Times New Roman"/>
      <w:sz w:val="24"/>
      <w:szCs w:val="20"/>
      <w:lang w:val="es-ES" w:eastAsia="es-ES"/>
    </w:rPr>
  </w:style>
  <w:style w:type="paragraph" w:styleId="Continuarlista2">
    <w:name w:val="List Continue 2"/>
    <w:basedOn w:val="Normal"/>
    <w:uiPriority w:val="99"/>
    <w:unhideWhenUsed/>
    <w:rsid w:val="00BB0611"/>
    <w:pPr>
      <w:overflowPunct w:val="0"/>
      <w:autoSpaceDE w:val="0"/>
      <w:autoSpaceDN w:val="0"/>
      <w:adjustRightInd w:val="0"/>
      <w:spacing w:after="120"/>
      <w:ind w:left="566"/>
      <w:contextualSpacing/>
      <w:textAlignment w:val="baseline"/>
    </w:pPr>
    <w:rPr>
      <w:rFonts w:ascii="Times New Roman" w:eastAsia="Times New Roman" w:hAnsi="Times New Roman" w:cs="Times New Roman"/>
      <w:sz w:val="24"/>
      <w:szCs w:val="20"/>
      <w:lang w:val="es-ES" w:eastAsia="es-ES"/>
    </w:rPr>
  </w:style>
  <w:style w:type="paragraph" w:styleId="Continuarlista3">
    <w:name w:val="List Continue 3"/>
    <w:basedOn w:val="Normal"/>
    <w:uiPriority w:val="99"/>
    <w:unhideWhenUsed/>
    <w:rsid w:val="00BB0611"/>
    <w:pPr>
      <w:overflowPunct w:val="0"/>
      <w:autoSpaceDE w:val="0"/>
      <w:autoSpaceDN w:val="0"/>
      <w:adjustRightInd w:val="0"/>
      <w:spacing w:after="120"/>
      <w:ind w:left="849"/>
      <w:contextualSpacing/>
      <w:textAlignment w:val="baseline"/>
    </w:pPr>
    <w:rPr>
      <w:rFonts w:ascii="Times New Roman" w:eastAsia="Times New Roman" w:hAnsi="Times New Roman" w:cs="Times New Roman"/>
      <w:sz w:val="24"/>
      <w:szCs w:val="20"/>
      <w:lang w:val="es-ES" w:eastAsia="es-ES"/>
    </w:rPr>
  </w:style>
  <w:style w:type="paragraph" w:styleId="Textoindependienteprimerasangra2">
    <w:name w:val="Body Text First Indent 2"/>
    <w:basedOn w:val="Sangradetextonormal"/>
    <w:link w:val="Textoindependienteprimerasangra2Car"/>
    <w:uiPriority w:val="99"/>
    <w:unhideWhenUsed/>
    <w:rsid w:val="00BB0611"/>
    <w:pPr>
      <w:overflowPunct w:val="0"/>
      <w:autoSpaceDE w:val="0"/>
      <w:autoSpaceDN w:val="0"/>
      <w:adjustRightInd w:val="0"/>
      <w:ind w:left="360" w:firstLine="360"/>
      <w:textAlignment w:val="baseline"/>
    </w:pPr>
    <w:rPr>
      <w:rFonts w:ascii="Times New Roman" w:hAnsi="Times New Roman"/>
      <w:i w:val="0"/>
      <w:sz w:val="24"/>
      <w:lang w:val="es-ES"/>
    </w:rPr>
  </w:style>
  <w:style w:type="character" w:customStyle="1" w:styleId="Textoindependienteprimerasangra2Car">
    <w:name w:val="Texto independiente primera sangría 2 Car"/>
    <w:basedOn w:val="SangradetextonormalCar"/>
    <w:link w:val="Textoindependienteprimerasangra2"/>
    <w:uiPriority w:val="99"/>
    <w:rsid w:val="00BB0611"/>
    <w:rPr>
      <w:rFonts w:ascii="Times New Roman" w:eastAsia="Times New Roman" w:hAnsi="Times New Roman" w:cs="Times New Roman"/>
      <w:i w:val="0"/>
      <w:sz w:val="24"/>
      <w:szCs w:val="20"/>
      <w:lang w:val="es-ES" w:eastAsia="es-ES"/>
    </w:rPr>
  </w:style>
  <w:style w:type="paragraph" w:styleId="Mapadeldocumento">
    <w:name w:val="Document Map"/>
    <w:basedOn w:val="Normal"/>
    <w:link w:val="MapadeldocumentoCar"/>
    <w:semiHidden/>
    <w:unhideWhenUsed/>
    <w:rsid w:val="00BB0611"/>
    <w:pPr>
      <w:overflowPunct w:val="0"/>
      <w:autoSpaceDE w:val="0"/>
      <w:autoSpaceDN w:val="0"/>
      <w:adjustRightInd w:val="0"/>
      <w:textAlignment w:val="baseline"/>
    </w:pPr>
    <w:rPr>
      <w:rFonts w:ascii="Tahoma" w:eastAsia="Times New Roman" w:hAnsi="Tahoma" w:cs="Tahoma"/>
      <w:sz w:val="16"/>
      <w:szCs w:val="16"/>
      <w:lang w:val="es-ES" w:eastAsia="es-ES"/>
    </w:rPr>
  </w:style>
  <w:style w:type="character" w:customStyle="1" w:styleId="MapadeldocumentoCar">
    <w:name w:val="Mapa del documento Car"/>
    <w:basedOn w:val="Fuentedeprrafopredeter"/>
    <w:link w:val="Mapadeldocumento"/>
    <w:semiHidden/>
    <w:rsid w:val="00BB0611"/>
    <w:rPr>
      <w:rFonts w:ascii="Tahoma" w:eastAsia="Times New Roman" w:hAnsi="Tahoma" w:cs="Tahoma"/>
      <w:sz w:val="16"/>
      <w:szCs w:val="16"/>
      <w:lang w:val="es-ES" w:eastAsia="es-ES"/>
    </w:rPr>
  </w:style>
  <w:style w:type="paragraph" w:styleId="Sinespaciado">
    <w:name w:val="No Spacing"/>
    <w:link w:val="SinespaciadoCar"/>
    <w:uiPriority w:val="1"/>
    <w:qFormat/>
    <w:rsid w:val="00BB0611"/>
    <w:rPr>
      <w:rFonts w:ascii="Arial" w:eastAsia="Times New Roman" w:hAnsi="Arial" w:cs="Arial"/>
      <w:sz w:val="18"/>
      <w:szCs w:val="20"/>
      <w:lang w:val="es-ES_tradnl" w:eastAsia="es-MX"/>
    </w:rPr>
  </w:style>
  <w:style w:type="character" w:customStyle="1" w:styleId="TextoCar">
    <w:name w:val="Texto Car"/>
    <w:basedOn w:val="Fuentedeprrafopredeter"/>
    <w:link w:val="Texto1"/>
    <w:locked/>
    <w:rsid w:val="00BB0611"/>
    <w:rPr>
      <w:rFonts w:ascii="Arial" w:eastAsia="Times New Roman" w:hAnsi="Arial" w:cs="Arial"/>
      <w:sz w:val="18"/>
      <w:szCs w:val="20"/>
      <w:lang w:val="es-ES" w:eastAsia="es-ES"/>
    </w:rPr>
  </w:style>
  <w:style w:type="paragraph" w:styleId="Revisin">
    <w:name w:val="Revision"/>
    <w:hidden/>
    <w:uiPriority w:val="99"/>
    <w:semiHidden/>
    <w:rsid w:val="00BB0611"/>
    <w:rPr>
      <w:rFonts w:ascii="Times New Roman" w:eastAsia="Times New Roman" w:hAnsi="Times New Roman" w:cs="Times New Roman"/>
      <w:sz w:val="24"/>
      <w:szCs w:val="20"/>
      <w:lang w:val="es-ES" w:eastAsia="es-ES"/>
    </w:rPr>
  </w:style>
  <w:style w:type="paragraph" w:styleId="Descripcin">
    <w:name w:val="caption"/>
    <w:basedOn w:val="Normal"/>
    <w:next w:val="Normal"/>
    <w:uiPriority w:val="35"/>
    <w:unhideWhenUsed/>
    <w:qFormat/>
    <w:rsid w:val="00BB0611"/>
    <w:pPr>
      <w:spacing w:after="200"/>
    </w:pPr>
    <w:rPr>
      <w:b/>
      <w:bCs/>
      <w:color w:val="4F81BD" w:themeColor="accent1"/>
      <w:sz w:val="18"/>
      <w:szCs w:val="18"/>
    </w:rPr>
  </w:style>
  <w:style w:type="paragraph" w:styleId="TDC1">
    <w:name w:val="toc 1"/>
    <w:basedOn w:val="Normal"/>
    <w:next w:val="Normal"/>
    <w:autoRedefine/>
    <w:uiPriority w:val="39"/>
    <w:unhideWhenUsed/>
    <w:qFormat/>
    <w:rsid w:val="00BB0611"/>
    <w:pPr>
      <w:tabs>
        <w:tab w:val="right" w:leader="dot" w:pos="9080"/>
      </w:tabs>
      <w:overflowPunct w:val="0"/>
      <w:autoSpaceDE w:val="0"/>
      <w:autoSpaceDN w:val="0"/>
      <w:adjustRightInd w:val="0"/>
      <w:spacing w:before="120" w:after="120"/>
      <w:ind w:left="360" w:right="720" w:hanging="360"/>
      <w:jc w:val="both"/>
      <w:textAlignment w:val="baseline"/>
    </w:pPr>
    <w:rPr>
      <w:rFonts w:ascii="Arial" w:eastAsia="Times New Roman" w:hAnsi="Arial" w:cstheme="minorHAnsi"/>
      <w:bCs/>
      <w:sz w:val="20"/>
      <w:szCs w:val="20"/>
      <w:lang w:val="es-ES" w:eastAsia="es-ES"/>
    </w:rPr>
  </w:style>
  <w:style w:type="paragraph" w:styleId="TDC2">
    <w:name w:val="toc 2"/>
    <w:basedOn w:val="Normal"/>
    <w:next w:val="Normal"/>
    <w:autoRedefine/>
    <w:uiPriority w:val="39"/>
    <w:unhideWhenUsed/>
    <w:qFormat/>
    <w:rsid w:val="00BB0611"/>
    <w:pPr>
      <w:tabs>
        <w:tab w:val="right" w:leader="dot" w:pos="9090"/>
      </w:tabs>
      <w:overflowPunct w:val="0"/>
      <w:autoSpaceDE w:val="0"/>
      <w:autoSpaceDN w:val="0"/>
      <w:adjustRightInd w:val="0"/>
      <w:spacing w:before="120" w:after="120"/>
      <w:ind w:left="821" w:right="720" w:hanging="432"/>
      <w:jc w:val="both"/>
      <w:textAlignment w:val="baseline"/>
    </w:pPr>
    <w:rPr>
      <w:rFonts w:ascii="Arial" w:eastAsia="Times New Roman" w:hAnsi="Arial" w:cstheme="minorHAnsi"/>
      <w:smallCaps/>
      <w:sz w:val="20"/>
      <w:szCs w:val="20"/>
      <w:lang w:val="es-ES" w:eastAsia="es-ES"/>
    </w:rPr>
  </w:style>
  <w:style w:type="paragraph" w:styleId="TDC3">
    <w:name w:val="toc 3"/>
    <w:basedOn w:val="Normal"/>
    <w:next w:val="Normal"/>
    <w:autoRedefine/>
    <w:uiPriority w:val="39"/>
    <w:unhideWhenUsed/>
    <w:qFormat/>
    <w:rsid w:val="00BB0611"/>
    <w:pPr>
      <w:overflowPunct w:val="0"/>
      <w:autoSpaceDE w:val="0"/>
      <w:autoSpaceDN w:val="0"/>
      <w:adjustRightInd w:val="0"/>
      <w:spacing w:after="100"/>
      <w:ind w:left="480"/>
      <w:textAlignment w:val="baseline"/>
    </w:pPr>
    <w:rPr>
      <w:rFonts w:ascii="Times New Roman" w:eastAsia="Times New Roman" w:hAnsi="Times New Roman" w:cs="Times New Roman"/>
      <w:sz w:val="24"/>
      <w:szCs w:val="20"/>
      <w:lang w:val="es-ES" w:eastAsia="es-ES"/>
    </w:rPr>
  </w:style>
  <w:style w:type="paragraph" w:styleId="TtuloTDC">
    <w:name w:val="TOC Heading"/>
    <w:basedOn w:val="Ttulo1"/>
    <w:next w:val="Normal"/>
    <w:uiPriority w:val="39"/>
    <w:semiHidden/>
    <w:unhideWhenUsed/>
    <w:qFormat/>
    <w:rsid w:val="00BB0611"/>
    <w:pPr>
      <w:keepLines/>
      <w:overflowPunct/>
      <w:autoSpaceDE/>
      <w:autoSpaceDN/>
      <w:adjustRightInd/>
      <w:spacing w:before="480" w:after="0" w:line="276" w:lineRule="auto"/>
      <w:textAlignment w:val="auto"/>
      <w:outlineLvl w:val="9"/>
    </w:pPr>
    <w:rPr>
      <w:rFonts w:asciiTheme="majorHAnsi" w:eastAsiaTheme="majorEastAsia" w:hAnsiTheme="majorHAnsi" w:cstheme="majorBidi"/>
      <w:color w:val="365F91" w:themeColor="accent1" w:themeShade="BF"/>
      <w:kern w:val="0"/>
      <w:sz w:val="28"/>
      <w:szCs w:val="28"/>
      <w:lang w:eastAsia="en-US"/>
    </w:rPr>
  </w:style>
  <w:style w:type="character" w:customStyle="1" w:styleId="SinespaciadoCar">
    <w:name w:val="Sin espaciado Car"/>
    <w:basedOn w:val="Fuentedeprrafopredeter"/>
    <w:link w:val="Sinespaciado"/>
    <w:uiPriority w:val="1"/>
    <w:rsid w:val="00BB0611"/>
    <w:rPr>
      <w:rFonts w:ascii="Arial" w:eastAsia="Times New Roman" w:hAnsi="Arial" w:cs="Arial"/>
      <w:sz w:val="18"/>
      <w:szCs w:val="20"/>
      <w:lang w:val="es-ES_tradnl" w:eastAsia="es-MX"/>
    </w:rPr>
  </w:style>
  <w:style w:type="paragraph" w:customStyle="1" w:styleId="Sangra3detindependiente1">
    <w:name w:val="Sangría 3 de t. independiente1"/>
    <w:basedOn w:val="Normal"/>
    <w:rsid w:val="00BB0611"/>
    <w:pPr>
      <w:tabs>
        <w:tab w:val="left" w:pos="709"/>
        <w:tab w:val="left" w:pos="2160"/>
      </w:tabs>
      <w:overflowPunct w:val="0"/>
      <w:autoSpaceDE w:val="0"/>
      <w:autoSpaceDN w:val="0"/>
      <w:adjustRightInd w:val="0"/>
      <w:spacing w:line="360" w:lineRule="auto"/>
      <w:ind w:left="1440"/>
      <w:jc w:val="both"/>
      <w:textAlignment w:val="baseline"/>
    </w:pPr>
    <w:rPr>
      <w:rFonts w:ascii="Times New Roman" w:eastAsia="Times New Roman" w:hAnsi="Times New Roman" w:cs="Times New Roman"/>
      <w:sz w:val="24"/>
      <w:szCs w:val="20"/>
      <w:lang w:val="es-MX" w:eastAsia="es-ES"/>
    </w:rPr>
  </w:style>
  <w:style w:type="numbering" w:customStyle="1" w:styleId="NoList1">
    <w:name w:val="No List1"/>
    <w:next w:val="Sinlista"/>
    <w:uiPriority w:val="99"/>
    <w:semiHidden/>
    <w:unhideWhenUsed/>
    <w:rsid w:val="00BB0611"/>
  </w:style>
  <w:style w:type="paragraph" w:customStyle="1" w:styleId="Textoindependiente21">
    <w:name w:val="Texto independiente 21"/>
    <w:basedOn w:val="Normal"/>
    <w:rsid w:val="00BB0611"/>
    <w:pPr>
      <w:overflowPunct w:val="0"/>
      <w:autoSpaceDE w:val="0"/>
      <w:autoSpaceDN w:val="0"/>
      <w:adjustRightInd w:val="0"/>
      <w:spacing w:line="360" w:lineRule="auto"/>
      <w:textAlignment w:val="baseline"/>
    </w:pPr>
    <w:rPr>
      <w:rFonts w:ascii="Times New Roman" w:eastAsia="Times New Roman" w:hAnsi="Times New Roman" w:cs="Times New Roman"/>
      <w:sz w:val="21"/>
      <w:szCs w:val="20"/>
      <w:lang w:val="es-MX" w:eastAsia="es-ES"/>
    </w:rPr>
  </w:style>
  <w:style w:type="paragraph" w:customStyle="1" w:styleId="encabezados">
    <w:name w:val="encabezados"/>
    <w:basedOn w:val="Normal"/>
    <w:rsid w:val="00BB0611"/>
    <w:pPr>
      <w:overflowPunct w:val="0"/>
      <w:autoSpaceDE w:val="0"/>
      <w:autoSpaceDN w:val="0"/>
      <w:adjustRightInd w:val="0"/>
      <w:spacing w:before="100" w:after="100"/>
      <w:textAlignment w:val="baseline"/>
    </w:pPr>
    <w:rPr>
      <w:rFonts w:ascii="Verdana" w:eastAsia="Times New Roman" w:hAnsi="Verdana" w:cs="Times New Roman"/>
      <w:b/>
      <w:sz w:val="36"/>
      <w:szCs w:val="20"/>
      <w:lang w:val="es-ES" w:eastAsia="es-ES"/>
    </w:rPr>
  </w:style>
  <w:style w:type="paragraph" w:customStyle="1" w:styleId="textocal">
    <w:name w:val="textocal"/>
    <w:basedOn w:val="Normal"/>
    <w:rsid w:val="00BB0611"/>
    <w:pPr>
      <w:overflowPunct w:val="0"/>
      <w:autoSpaceDE w:val="0"/>
      <w:autoSpaceDN w:val="0"/>
      <w:adjustRightInd w:val="0"/>
      <w:spacing w:before="100" w:after="100"/>
      <w:textAlignment w:val="baseline"/>
    </w:pPr>
    <w:rPr>
      <w:rFonts w:ascii="Verdana" w:eastAsia="Times New Roman" w:hAnsi="Verdana" w:cs="Times New Roman"/>
      <w:szCs w:val="20"/>
      <w:lang w:val="es-ES" w:eastAsia="es-ES"/>
    </w:rPr>
  </w:style>
  <w:style w:type="paragraph" w:styleId="NormalWeb">
    <w:name w:val="Normal (Web)"/>
    <w:basedOn w:val="Normal"/>
    <w:rsid w:val="00BB0611"/>
    <w:pPr>
      <w:overflowPunct w:val="0"/>
      <w:autoSpaceDE w:val="0"/>
      <w:autoSpaceDN w:val="0"/>
      <w:adjustRightInd w:val="0"/>
      <w:spacing w:before="100" w:after="100"/>
      <w:textAlignment w:val="baseline"/>
    </w:pPr>
    <w:rPr>
      <w:rFonts w:ascii="Arial Unicode MS" w:eastAsia="Arial Unicode MS" w:hAnsi="Times New Roman" w:cs="Times New Roman"/>
      <w:color w:val="000000"/>
      <w:sz w:val="24"/>
      <w:szCs w:val="20"/>
      <w:lang w:val="es-ES" w:eastAsia="es-ES"/>
    </w:rPr>
  </w:style>
  <w:style w:type="character" w:customStyle="1" w:styleId="subtitulo10">
    <w:name w:val="subtitulo1"/>
    <w:basedOn w:val="Fuentedeprrafopredeter"/>
    <w:rsid w:val="00BB0611"/>
    <w:rPr>
      <w:rFonts w:ascii="Verdana" w:hAnsi="Verdana"/>
      <w:b/>
      <w:color w:val="auto"/>
      <w:sz w:val="28"/>
    </w:rPr>
  </w:style>
  <w:style w:type="character" w:customStyle="1" w:styleId="textocal1">
    <w:name w:val="textocal1"/>
    <w:basedOn w:val="Fuentedeprrafopredeter"/>
    <w:rsid w:val="00BB0611"/>
    <w:rPr>
      <w:rFonts w:ascii="Verdana" w:hAnsi="Verdana"/>
      <w:color w:val="auto"/>
      <w:sz w:val="22"/>
    </w:rPr>
  </w:style>
  <w:style w:type="paragraph" w:customStyle="1" w:styleId="BodyText24">
    <w:name w:val="Body Text 24"/>
    <w:basedOn w:val="Normal"/>
    <w:rsid w:val="00BB0611"/>
    <w:pPr>
      <w:tabs>
        <w:tab w:val="left" w:pos="709"/>
      </w:tabs>
      <w:overflowPunct w:val="0"/>
      <w:autoSpaceDE w:val="0"/>
      <w:autoSpaceDN w:val="0"/>
      <w:adjustRightInd w:val="0"/>
      <w:ind w:left="709" w:hanging="709"/>
      <w:textAlignment w:val="baseline"/>
    </w:pPr>
    <w:rPr>
      <w:rFonts w:ascii="Times New Roman" w:eastAsia="Times New Roman" w:hAnsi="Times New Roman" w:cs="Times New Roman"/>
      <w:sz w:val="24"/>
      <w:szCs w:val="20"/>
      <w:lang w:val="es-ES" w:eastAsia="es-ES"/>
    </w:rPr>
  </w:style>
  <w:style w:type="paragraph" w:customStyle="1" w:styleId="BodyText23">
    <w:name w:val="Body Text 23"/>
    <w:basedOn w:val="Normal"/>
    <w:rsid w:val="00BB0611"/>
    <w:pPr>
      <w:tabs>
        <w:tab w:val="left" w:pos="0"/>
      </w:tabs>
      <w:overflowPunct w:val="0"/>
      <w:autoSpaceDE w:val="0"/>
      <w:autoSpaceDN w:val="0"/>
      <w:adjustRightInd w:val="0"/>
      <w:spacing w:line="360" w:lineRule="auto"/>
      <w:ind w:left="900" w:hanging="900"/>
      <w:jc w:val="both"/>
      <w:textAlignment w:val="baseline"/>
    </w:pPr>
    <w:rPr>
      <w:rFonts w:ascii="Times New Roman" w:eastAsia="Times New Roman" w:hAnsi="Times New Roman" w:cs="Times New Roman"/>
      <w:b/>
      <w:sz w:val="24"/>
      <w:szCs w:val="20"/>
      <w:lang w:val="es-MX" w:eastAsia="es-ES"/>
    </w:rPr>
  </w:style>
  <w:style w:type="paragraph" w:customStyle="1" w:styleId="Sangra2detindependiente1">
    <w:name w:val="Sangría 2 de t. independiente1"/>
    <w:basedOn w:val="Normal"/>
    <w:rsid w:val="00BB0611"/>
    <w:pPr>
      <w:tabs>
        <w:tab w:val="left" w:pos="0"/>
        <w:tab w:val="left" w:pos="1080"/>
      </w:tabs>
      <w:overflowPunct w:val="0"/>
      <w:autoSpaceDE w:val="0"/>
      <w:autoSpaceDN w:val="0"/>
      <w:adjustRightInd w:val="0"/>
      <w:spacing w:line="360" w:lineRule="auto"/>
      <w:ind w:left="1080"/>
      <w:jc w:val="both"/>
      <w:textAlignment w:val="baseline"/>
    </w:pPr>
    <w:rPr>
      <w:rFonts w:ascii="Times New Roman" w:eastAsia="Times New Roman" w:hAnsi="Times New Roman" w:cs="Times New Roman"/>
      <w:sz w:val="24"/>
      <w:szCs w:val="20"/>
      <w:lang w:val="es-MX" w:eastAsia="es-ES"/>
    </w:rPr>
  </w:style>
  <w:style w:type="paragraph" w:customStyle="1" w:styleId="BodyText22">
    <w:name w:val="Body Text 22"/>
    <w:basedOn w:val="Normal"/>
    <w:rsid w:val="00BB0611"/>
    <w:pPr>
      <w:tabs>
        <w:tab w:val="left" w:pos="709"/>
      </w:tabs>
      <w:overflowPunct w:val="0"/>
      <w:autoSpaceDE w:val="0"/>
      <w:autoSpaceDN w:val="0"/>
      <w:adjustRightInd w:val="0"/>
      <w:spacing w:line="360" w:lineRule="auto"/>
      <w:jc w:val="both"/>
      <w:textAlignment w:val="baseline"/>
    </w:pPr>
    <w:rPr>
      <w:rFonts w:ascii="Times New Roman" w:eastAsia="Times New Roman" w:hAnsi="Times New Roman" w:cs="Times New Roman"/>
      <w:sz w:val="24"/>
      <w:szCs w:val="20"/>
      <w:lang w:val="es-MX" w:eastAsia="es-ES"/>
    </w:rPr>
  </w:style>
  <w:style w:type="paragraph" w:customStyle="1" w:styleId="BodyTextIndent21">
    <w:name w:val="Body Text Indent 21"/>
    <w:basedOn w:val="Normal"/>
    <w:rsid w:val="00BB0611"/>
    <w:pPr>
      <w:overflowPunct w:val="0"/>
      <w:autoSpaceDE w:val="0"/>
      <w:autoSpaceDN w:val="0"/>
      <w:adjustRightInd w:val="0"/>
      <w:spacing w:line="360" w:lineRule="auto"/>
      <w:ind w:left="709" w:hanging="142"/>
      <w:jc w:val="both"/>
      <w:textAlignment w:val="baseline"/>
    </w:pPr>
    <w:rPr>
      <w:rFonts w:ascii="Times New Roman" w:eastAsia="Times New Roman" w:hAnsi="Times New Roman" w:cs="Times New Roman"/>
      <w:sz w:val="24"/>
      <w:szCs w:val="20"/>
      <w:lang w:val="es-MX" w:eastAsia="es-ES"/>
    </w:rPr>
  </w:style>
  <w:style w:type="paragraph" w:styleId="Ttulo">
    <w:name w:val="Title"/>
    <w:basedOn w:val="Normal"/>
    <w:link w:val="TtuloCar"/>
    <w:qFormat/>
    <w:rsid w:val="00BB0611"/>
    <w:pPr>
      <w:spacing w:before="120" w:after="120"/>
      <w:jc w:val="center"/>
      <w:outlineLvl w:val="0"/>
    </w:pPr>
    <w:rPr>
      <w:rFonts w:ascii="Arial" w:eastAsia="Times New Roman" w:hAnsi="Arial" w:cs="Arial"/>
      <w:b/>
      <w:szCs w:val="24"/>
      <w:lang w:val="es-ES" w:eastAsia="es-ES"/>
    </w:rPr>
  </w:style>
  <w:style w:type="character" w:customStyle="1" w:styleId="TtuloCar">
    <w:name w:val="Título Car"/>
    <w:basedOn w:val="Fuentedeprrafopredeter"/>
    <w:link w:val="Ttulo"/>
    <w:rsid w:val="00BB0611"/>
    <w:rPr>
      <w:rFonts w:ascii="Arial" w:eastAsia="Times New Roman" w:hAnsi="Arial" w:cs="Arial"/>
      <w:b/>
      <w:szCs w:val="24"/>
      <w:lang w:val="es-ES" w:eastAsia="es-ES"/>
    </w:rPr>
  </w:style>
  <w:style w:type="paragraph" w:customStyle="1" w:styleId="xl104">
    <w:name w:val="xl104"/>
    <w:basedOn w:val="Normal"/>
    <w:rsid w:val="00BB0611"/>
    <w:pPr>
      <w:pBdr>
        <w:left w:val="double" w:sz="6" w:space="9" w:color="auto"/>
        <w:bottom w:val="double" w:sz="6" w:space="0" w:color="auto"/>
      </w:pBdr>
      <w:spacing w:before="100" w:beforeAutospacing="1" w:after="100" w:afterAutospacing="1"/>
      <w:ind w:firstLineChars="100" w:firstLine="100"/>
      <w:textAlignment w:val="center"/>
    </w:pPr>
    <w:rPr>
      <w:rFonts w:ascii="Arial" w:eastAsia="Arial Unicode MS" w:hAnsi="Arial" w:cs="Arial"/>
      <w:b/>
      <w:bCs/>
      <w:sz w:val="24"/>
      <w:szCs w:val="24"/>
      <w:lang w:val="es-ES" w:eastAsia="es-ES"/>
    </w:rPr>
  </w:style>
  <w:style w:type="paragraph" w:customStyle="1" w:styleId="xl107">
    <w:name w:val="xl107"/>
    <w:basedOn w:val="Normal"/>
    <w:rsid w:val="00BB0611"/>
    <w:pPr>
      <w:pBdr>
        <w:left w:val="single" w:sz="4" w:space="0" w:color="auto"/>
        <w:bottom w:val="single" w:sz="4" w:space="0" w:color="auto"/>
        <w:right w:val="double" w:sz="6" w:space="0" w:color="auto"/>
      </w:pBdr>
      <w:spacing w:before="100" w:beforeAutospacing="1" w:after="100" w:afterAutospacing="1"/>
      <w:jc w:val="center"/>
      <w:textAlignment w:val="center"/>
    </w:pPr>
    <w:rPr>
      <w:rFonts w:ascii="Arial Unicode MS" w:eastAsia="Arial Unicode MS" w:hAnsi="Arial Unicode MS" w:cs="Arial Unicode MS"/>
      <w:sz w:val="24"/>
      <w:szCs w:val="24"/>
      <w:lang w:val="es-ES" w:eastAsia="es-ES"/>
    </w:rPr>
  </w:style>
  <w:style w:type="paragraph" w:customStyle="1" w:styleId="xl110">
    <w:name w:val="xl110"/>
    <w:basedOn w:val="Normal"/>
    <w:rsid w:val="00BB0611"/>
    <w:pPr>
      <w:pBdr>
        <w:left w:val="single" w:sz="4" w:space="0" w:color="auto"/>
      </w:pBdr>
      <w:spacing w:before="100" w:beforeAutospacing="1" w:after="100" w:afterAutospacing="1"/>
      <w:jc w:val="center"/>
      <w:textAlignment w:val="center"/>
    </w:pPr>
    <w:rPr>
      <w:rFonts w:ascii="Arial" w:eastAsia="Arial Unicode MS" w:hAnsi="Arial" w:cs="Arial"/>
      <w:b/>
      <w:bCs/>
      <w:sz w:val="24"/>
      <w:szCs w:val="24"/>
      <w:lang w:val="es-ES" w:eastAsia="es-ES"/>
    </w:rPr>
  </w:style>
  <w:style w:type="paragraph" w:customStyle="1" w:styleId="Parrafo1">
    <w:name w:val="Parrafo1"/>
    <w:basedOn w:val="Textoindependiente"/>
    <w:rsid w:val="00BB0611"/>
    <w:pPr>
      <w:spacing w:before="40" w:beforeAutospacing="0" w:after="120" w:afterAutospacing="0" w:line="300" w:lineRule="atLeast"/>
    </w:pPr>
    <w:rPr>
      <w:rFonts w:ascii="Arial" w:hAnsi="Arial"/>
      <w:sz w:val="20"/>
      <w:szCs w:val="20"/>
      <w:lang w:val="es-ES" w:eastAsia="es-ES"/>
    </w:rPr>
  </w:style>
  <w:style w:type="character" w:customStyle="1" w:styleId="INCISOCar">
    <w:name w:val="INCISO Car"/>
    <w:basedOn w:val="Fuentedeprrafopredeter"/>
    <w:rsid w:val="00BB0611"/>
    <w:rPr>
      <w:rFonts w:ascii="Arial" w:hAnsi="Arial" w:cs="Arial"/>
      <w:sz w:val="18"/>
      <w:szCs w:val="18"/>
      <w:lang w:val="es-ES" w:eastAsia="es-ES" w:bidi="ar-SA"/>
    </w:rPr>
  </w:style>
  <w:style w:type="character" w:customStyle="1" w:styleId="textogeneral1">
    <w:name w:val="texto_general1"/>
    <w:basedOn w:val="Fuentedeprrafopredeter"/>
    <w:rsid w:val="00BB0611"/>
    <w:rPr>
      <w:rFonts w:ascii="Arial" w:hAnsi="Arial" w:cs="Arial" w:hint="default"/>
      <w:b w:val="0"/>
      <w:bCs w:val="0"/>
      <w:i w:val="0"/>
      <w:iCs w:val="0"/>
      <w:color w:val="0083B5"/>
      <w:sz w:val="15"/>
      <w:szCs w:val="15"/>
    </w:rPr>
  </w:style>
  <w:style w:type="character" w:customStyle="1" w:styleId="subtitulogeneral1">
    <w:name w:val="subtitulo_general1"/>
    <w:basedOn w:val="Fuentedeprrafopredeter"/>
    <w:rsid w:val="00BB0611"/>
    <w:rPr>
      <w:rFonts w:ascii="Arial" w:hAnsi="Arial" w:cs="Arial" w:hint="default"/>
      <w:b/>
      <w:bCs/>
      <w:i/>
      <w:iCs/>
      <w:color w:val="0083B5"/>
      <w:sz w:val="20"/>
      <w:szCs w:val="20"/>
    </w:rPr>
  </w:style>
  <w:style w:type="character" w:customStyle="1" w:styleId="TextoCarCar">
    <w:name w:val="Texto Car Car"/>
    <w:basedOn w:val="Fuentedeprrafopredeter"/>
    <w:rsid w:val="00BB0611"/>
    <w:rPr>
      <w:rFonts w:ascii="Arial" w:hAnsi="Arial"/>
      <w:sz w:val="18"/>
      <w:szCs w:val="18"/>
      <w:lang w:val="es-MX" w:eastAsia="es-MX" w:bidi="ar-SA"/>
    </w:rPr>
  </w:style>
  <w:style w:type="paragraph" w:customStyle="1" w:styleId="CarCarCarCarCar">
    <w:name w:val="Car Car Car Car Car"/>
    <w:basedOn w:val="Normal"/>
    <w:autoRedefine/>
    <w:rsid w:val="00BB0611"/>
    <w:pPr>
      <w:spacing w:after="160" w:line="240" w:lineRule="exact"/>
    </w:pPr>
    <w:rPr>
      <w:rFonts w:ascii="Arial" w:eastAsia="Times New Roman" w:hAnsi="Arial" w:cs="Times New Roman"/>
      <w:szCs w:val="20"/>
      <w:lang w:val="es-MX"/>
    </w:rPr>
  </w:style>
  <w:style w:type="paragraph" w:customStyle="1" w:styleId="CarCarCarCar">
    <w:name w:val="Car Car Car Car"/>
    <w:basedOn w:val="Normal"/>
    <w:autoRedefine/>
    <w:rsid w:val="00BB0611"/>
    <w:pPr>
      <w:spacing w:after="160" w:line="240" w:lineRule="exact"/>
    </w:pPr>
    <w:rPr>
      <w:rFonts w:ascii="Arial" w:eastAsia="Times New Roman" w:hAnsi="Arial" w:cs="Times New Roman"/>
      <w:szCs w:val="20"/>
      <w:lang w:val="es-MX"/>
    </w:rPr>
  </w:style>
  <w:style w:type="paragraph" w:styleId="TDC4">
    <w:name w:val="toc 4"/>
    <w:basedOn w:val="Normal"/>
    <w:next w:val="Normal"/>
    <w:autoRedefine/>
    <w:uiPriority w:val="39"/>
    <w:rsid w:val="00BB0611"/>
    <w:pPr>
      <w:overflowPunct w:val="0"/>
      <w:autoSpaceDE w:val="0"/>
      <w:autoSpaceDN w:val="0"/>
      <w:adjustRightInd w:val="0"/>
      <w:ind w:left="720"/>
      <w:textAlignment w:val="baseline"/>
    </w:pPr>
    <w:rPr>
      <w:rFonts w:ascii="Times New Roman" w:eastAsia="Times New Roman" w:hAnsi="Times New Roman" w:cs="Times New Roman"/>
      <w:sz w:val="24"/>
      <w:szCs w:val="21"/>
      <w:lang w:val="es-ES" w:eastAsia="es-ES"/>
    </w:rPr>
  </w:style>
  <w:style w:type="paragraph" w:styleId="TDC5">
    <w:name w:val="toc 5"/>
    <w:basedOn w:val="Normal"/>
    <w:next w:val="Normal"/>
    <w:autoRedefine/>
    <w:uiPriority w:val="39"/>
    <w:rsid w:val="00BB0611"/>
    <w:pPr>
      <w:overflowPunct w:val="0"/>
      <w:autoSpaceDE w:val="0"/>
      <w:autoSpaceDN w:val="0"/>
      <w:adjustRightInd w:val="0"/>
      <w:ind w:left="960"/>
      <w:textAlignment w:val="baseline"/>
    </w:pPr>
    <w:rPr>
      <w:rFonts w:ascii="Times New Roman" w:eastAsia="Times New Roman" w:hAnsi="Times New Roman" w:cs="Times New Roman"/>
      <w:sz w:val="24"/>
      <w:szCs w:val="21"/>
      <w:lang w:val="es-ES" w:eastAsia="es-ES"/>
    </w:rPr>
  </w:style>
  <w:style w:type="paragraph" w:styleId="TDC6">
    <w:name w:val="toc 6"/>
    <w:basedOn w:val="Normal"/>
    <w:next w:val="Normal"/>
    <w:autoRedefine/>
    <w:uiPriority w:val="39"/>
    <w:rsid w:val="00BB0611"/>
    <w:pPr>
      <w:overflowPunct w:val="0"/>
      <w:autoSpaceDE w:val="0"/>
      <w:autoSpaceDN w:val="0"/>
      <w:adjustRightInd w:val="0"/>
      <w:ind w:left="1200"/>
      <w:textAlignment w:val="baseline"/>
    </w:pPr>
    <w:rPr>
      <w:rFonts w:ascii="Times New Roman" w:eastAsia="Times New Roman" w:hAnsi="Times New Roman" w:cs="Times New Roman"/>
      <w:sz w:val="24"/>
      <w:szCs w:val="21"/>
      <w:lang w:val="es-ES" w:eastAsia="es-ES"/>
    </w:rPr>
  </w:style>
  <w:style w:type="paragraph" w:styleId="TDC7">
    <w:name w:val="toc 7"/>
    <w:basedOn w:val="Normal"/>
    <w:next w:val="Normal"/>
    <w:autoRedefine/>
    <w:uiPriority w:val="39"/>
    <w:rsid w:val="00BB0611"/>
    <w:pPr>
      <w:overflowPunct w:val="0"/>
      <w:autoSpaceDE w:val="0"/>
      <w:autoSpaceDN w:val="0"/>
      <w:adjustRightInd w:val="0"/>
      <w:ind w:left="1440"/>
      <w:textAlignment w:val="baseline"/>
    </w:pPr>
    <w:rPr>
      <w:rFonts w:ascii="Times New Roman" w:eastAsia="Times New Roman" w:hAnsi="Times New Roman" w:cs="Times New Roman"/>
      <w:sz w:val="24"/>
      <w:szCs w:val="21"/>
      <w:lang w:val="es-ES" w:eastAsia="es-ES"/>
    </w:rPr>
  </w:style>
  <w:style w:type="paragraph" w:styleId="TDC8">
    <w:name w:val="toc 8"/>
    <w:basedOn w:val="Normal"/>
    <w:next w:val="Normal"/>
    <w:autoRedefine/>
    <w:uiPriority w:val="39"/>
    <w:rsid w:val="00BB0611"/>
    <w:pPr>
      <w:overflowPunct w:val="0"/>
      <w:autoSpaceDE w:val="0"/>
      <w:autoSpaceDN w:val="0"/>
      <w:adjustRightInd w:val="0"/>
      <w:ind w:left="1680"/>
      <w:textAlignment w:val="baseline"/>
    </w:pPr>
    <w:rPr>
      <w:rFonts w:ascii="Times New Roman" w:eastAsia="Times New Roman" w:hAnsi="Times New Roman" w:cs="Times New Roman"/>
      <w:sz w:val="24"/>
      <w:szCs w:val="21"/>
      <w:lang w:val="es-ES" w:eastAsia="es-ES"/>
    </w:rPr>
  </w:style>
  <w:style w:type="paragraph" w:styleId="TDC9">
    <w:name w:val="toc 9"/>
    <w:basedOn w:val="Normal"/>
    <w:next w:val="Normal"/>
    <w:autoRedefine/>
    <w:uiPriority w:val="39"/>
    <w:rsid w:val="00BB0611"/>
    <w:pPr>
      <w:overflowPunct w:val="0"/>
      <w:autoSpaceDE w:val="0"/>
      <w:autoSpaceDN w:val="0"/>
      <w:adjustRightInd w:val="0"/>
      <w:ind w:left="1920"/>
      <w:textAlignment w:val="baseline"/>
    </w:pPr>
    <w:rPr>
      <w:rFonts w:ascii="Times New Roman" w:eastAsia="Times New Roman" w:hAnsi="Times New Roman" w:cs="Times New Roman"/>
      <w:sz w:val="24"/>
      <w:szCs w:val="21"/>
      <w:lang w:val="es-ES" w:eastAsia="es-ES"/>
    </w:rPr>
  </w:style>
  <w:style w:type="paragraph" w:customStyle="1" w:styleId="CarCarCar">
    <w:name w:val="Car Car Car"/>
    <w:basedOn w:val="Normal"/>
    <w:autoRedefine/>
    <w:rsid w:val="00BB0611"/>
    <w:pPr>
      <w:spacing w:after="160" w:line="240" w:lineRule="exact"/>
    </w:pPr>
    <w:rPr>
      <w:rFonts w:ascii="Arial" w:eastAsia="Times New Roman" w:hAnsi="Arial" w:cs="Times New Roman"/>
      <w:szCs w:val="20"/>
      <w:lang w:val="es-MX"/>
    </w:rPr>
  </w:style>
  <w:style w:type="character" w:customStyle="1" w:styleId="ROMANOSCar">
    <w:name w:val="ROMANOS Car"/>
    <w:basedOn w:val="Fuentedeprrafopredeter"/>
    <w:link w:val="ROMANOS"/>
    <w:locked/>
    <w:rsid w:val="00BB0611"/>
    <w:rPr>
      <w:rFonts w:ascii="Arial" w:eastAsia="Times New Roman" w:hAnsi="Arial" w:cs="Arial"/>
      <w:sz w:val="18"/>
      <w:szCs w:val="18"/>
    </w:rPr>
  </w:style>
  <w:style w:type="paragraph" w:customStyle="1" w:styleId="Textonormal">
    <w:name w:val="Texto normal"/>
    <w:basedOn w:val="Normal"/>
    <w:rsid w:val="00BB0611"/>
    <w:pPr>
      <w:jc w:val="both"/>
    </w:pPr>
    <w:rPr>
      <w:rFonts w:ascii="Arial" w:eastAsia="Times New Roman" w:hAnsi="Arial" w:cs="Arial"/>
      <w:szCs w:val="20"/>
      <w:lang w:val="es-ES" w:eastAsia="es-ES"/>
    </w:rPr>
  </w:style>
  <w:style w:type="table" w:styleId="Sombreadoclaro-nfasis3">
    <w:name w:val="Light Shading Accent 3"/>
    <w:basedOn w:val="Tablanormal"/>
    <w:uiPriority w:val="60"/>
    <w:rsid w:val="00BB061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Textodelmarcadordeposicin">
    <w:name w:val="Placeholder Text"/>
    <w:basedOn w:val="Fuentedeprrafopredeter"/>
    <w:uiPriority w:val="99"/>
    <w:semiHidden/>
    <w:rsid w:val="00BB0611"/>
    <w:rPr>
      <w:color w:val="808080"/>
    </w:rPr>
  </w:style>
  <w:style w:type="paragraph" w:styleId="Textonotaalfinal">
    <w:name w:val="endnote text"/>
    <w:basedOn w:val="Normal"/>
    <w:link w:val="TextonotaalfinalCar"/>
    <w:rsid w:val="00BB0611"/>
    <w:pPr>
      <w:overflowPunct w:val="0"/>
      <w:autoSpaceDE w:val="0"/>
      <w:autoSpaceDN w:val="0"/>
      <w:adjustRightInd w:val="0"/>
      <w:textAlignment w:val="baseline"/>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rsid w:val="00BB0611"/>
    <w:rPr>
      <w:rFonts w:ascii="Times New Roman" w:eastAsia="Times New Roman" w:hAnsi="Times New Roman" w:cs="Times New Roman"/>
      <w:sz w:val="20"/>
      <w:szCs w:val="20"/>
      <w:lang w:val="es-ES" w:eastAsia="es-ES"/>
    </w:rPr>
  </w:style>
  <w:style w:type="character" w:styleId="Refdenotaalfinal">
    <w:name w:val="endnote reference"/>
    <w:basedOn w:val="Fuentedeprrafopredeter"/>
    <w:rsid w:val="00BB06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68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E4C17-07BC-4942-9376-4D2604C70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3326</Words>
  <Characters>18295</Characters>
  <Application>Microsoft Office Word</Application>
  <DocSecurity>0</DocSecurity>
  <Lines>152</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homeroangel</dc:creator>
  <cp:lastModifiedBy>Hernandez Moreno Marco Antonio</cp:lastModifiedBy>
  <cp:revision>3</cp:revision>
  <cp:lastPrinted>2018-03-14T17:28:00Z</cp:lastPrinted>
  <dcterms:created xsi:type="dcterms:W3CDTF">2018-03-14T18:24:00Z</dcterms:created>
  <dcterms:modified xsi:type="dcterms:W3CDTF">2018-05-09T16:09:00Z</dcterms:modified>
</cp:coreProperties>
</file>