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3F39" w:rsidRPr="00BC3F39" w:rsidRDefault="00BC3F39" w:rsidP="00BC3F39">
      <w:pPr>
        <w:spacing w:after="200" w:line="276" w:lineRule="auto"/>
        <w:jc w:val="both"/>
        <w:rPr>
          <w:rFonts w:ascii="Tahoma" w:hAnsi="Tahoma" w:cs="Tahoma"/>
          <w:sz w:val="22"/>
          <w:szCs w:val="22"/>
        </w:rPr>
      </w:pPr>
      <w:bookmarkStart w:id="0" w:name="_GoBack"/>
      <w:bookmarkEnd w:id="0"/>
    </w:p>
    <w:p w:rsidR="00BC3F39" w:rsidRPr="00BC3F39" w:rsidRDefault="00BC3F39" w:rsidP="00BC3F39">
      <w:pPr>
        <w:tabs>
          <w:tab w:val="left" w:pos="564"/>
        </w:tabs>
        <w:spacing w:after="200" w:line="276" w:lineRule="auto"/>
        <w:rPr>
          <w:rFonts w:ascii="Tahoma" w:hAnsi="Tahoma" w:cs="Tahoma"/>
        </w:rPr>
      </w:pPr>
    </w:p>
    <w:p w:rsidR="00BC3F39" w:rsidRPr="00BC3F39" w:rsidRDefault="00BC3F39" w:rsidP="00BC3F39">
      <w:pPr>
        <w:spacing w:after="200" w:line="276" w:lineRule="auto"/>
        <w:rPr>
          <w:rFonts w:ascii="Tahoma" w:hAnsi="Tahoma" w:cs="Tahoma"/>
        </w:rPr>
      </w:pPr>
      <w:r w:rsidRPr="00BC3F39">
        <w:rPr>
          <w:rFonts w:ascii="Tahoma" w:hAnsi="Tahoma" w:cs="Tahoma"/>
          <w:noProof/>
        </w:rPr>
        <w:drawing>
          <wp:anchor distT="0" distB="0" distL="114300" distR="114300" simplePos="0" relativeHeight="251673600" behindDoc="0" locked="0" layoutInCell="0" allowOverlap="1" wp14:anchorId="35BE025C" wp14:editId="556D5338">
            <wp:simplePos x="0" y="0"/>
            <wp:positionH relativeFrom="margin">
              <wp:posOffset>1844675</wp:posOffset>
            </wp:positionH>
            <wp:positionV relativeFrom="paragraph">
              <wp:posOffset>118193</wp:posOffset>
            </wp:positionV>
            <wp:extent cx="1922145" cy="1439545"/>
            <wp:effectExtent l="0" t="0" r="1905" b="825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3F39" w:rsidRPr="00BC3F39" w:rsidRDefault="00BC3F39" w:rsidP="00BC3F39">
      <w:pPr>
        <w:spacing w:after="200" w:line="276" w:lineRule="auto"/>
        <w:rPr>
          <w:rFonts w:ascii="Tahoma" w:hAnsi="Tahoma" w:cs="Tahoma"/>
        </w:rPr>
      </w:pPr>
    </w:p>
    <w:p w:rsidR="00BC3F39" w:rsidRPr="00BC3F39" w:rsidRDefault="00BC3F39" w:rsidP="00BC3F39">
      <w:pPr>
        <w:spacing w:after="200" w:line="276" w:lineRule="auto"/>
        <w:rPr>
          <w:rFonts w:ascii="Tahoma" w:hAnsi="Tahoma" w:cs="Tahoma"/>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rPr>
          <w:rFonts w:ascii="Tahoma" w:hAnsi="Tahoma" w:cs="Tahoma"/>
          <w:noProof/>
        </w:rPr>
      </w:pPr>
    </w:p>
    <w:p w:rsidR="00BC3F39" w:rsidRPr="00BC3F39" w:rsidRDefault="00BC3F39" w:rsidP="00BC3F39">
      <w:pPr>
        <w:spacing w:after="200" w:line="276" w:lineRule="auto"/>
        <w:jc w:val="center"/>
        <w:rPr>
          <w:rFonts w:ascii="Tahoma" w:hAnsi="Tahoma" w:cs="Tahoma"/>
        </w:rPr>
      </w:pPr>
    </w:p>
    <w:p w:rsidR="00BC3F39" w:rsidRPr="00224AEA" w:rsidRDefault="00BC3F39" w:rsidP="00BC3F39">
      <w:pPr>
        <w:spacing w:after="200" w:line="276" w:lineRule="auto"/>
        <w:jc w:val="center"/>
        <w:rPr>
          <w:rFonts w:ascii="Tahoma" w:hAnsi="Tahoma"/>
          <w:b/>
        </w:rPr>
      </w:pPr>
      <w:r w:rsidRPr="00224AEA">
        <w:rPr>
          <w:rFonts w:ascii="Tahoma" w:hAnsi="Tahoma"/>
          <w:b/>
        </w:rPr>
        <w:t>Instituto del Fondo Nacional de la Vivienda para los Trabajadores</w:t>
      </w:r>
    </w:p>
    <w:p w:rsidR="00BC3F39" w:rsidRPr="00224AEA" w:rsidRDefault="00BC3F39" w:rsidP="00BC3F39">
      <w:pPr>
        <w:spacing w:after="200" w:line="276" w:lineRule="auto"/>
        <w:jc w:val="center"/>
        <w:rPr>
          <w:rFonts w:ascii="Tahoma" w:hAnsi="Tahoma"/>
        </w:rPr>
      </w:pPr>
      <w:r w:rsidRPr="00BC3F39">
        <w:rPr>
          <w:rFonts w:ascii="Tahoma" w:hAnsi="Tahoma" w:cs="Tahoma"/>
          <w:b/>
          <w:bCs/>
        </w:rPr>
        <w:t xml:space="preserve">Política de traspasos de la Tesorería del Instituto al </w:t>
      </w:r>
      <w:r w:rsidR="00602FA1">
        <w:rPr>
          <w:rFonts w:ascii="Tahoma" w:hAnsi="Tahoma" w:cs="Tahoma"/>
          <w:b/>
          <w:bCs/>
        </w:rPr>
        <w:t>FANVIT</w:t>
      </w:r>
    </w:p>
    <w:p w:rsidR="00BC3F39" w:rsidRDefault="00BC3F39" w:rsidP="00BC3F39">
      <w:pPr>
        <w:jc w:val="center"/>
        <w:rPr>
          <w:rFonts w:ascii="Tahoma" w:hAnsi="Tahoma"/>
        </w:rPr>
      </w:pPr>
      <w:r w:rsidRPr="00035409">
        <w:rPr>
          <w:rFonts w:ascii="Tahoma" w:hAnsi="Tahoma"/>
        </w:rPr>
        <w:t xml:space="preserve">(Anexo </w:t>
      </w:r>
      <w:r>
        <w:rPr>
          <w:rFonts w:ascii="Tahoma" w:hAnsi="Tahoma"/>
        </w:rPr>
        <w:t>8</w:t>
      </w:r>
      <w:r w:rsidRPr="00035409">
        <w:rPr>
          <w:rFonts w:ascii="Tahoma" w:hAnsi="Tahoma"/>
        </w:rPr>
        <w:t>)</w:t>
      </w:r>
    </w:p>
    <w:p w:rsidR="00BC3F39" w:rsidRDefault="00BC3F39">
      <w:pPr>
        <w:rPr>
          <w:rFonts w:ascii="Arial" w:hAnsi="Arial" w:cs="Arial"/>
          <w:sz w:val="22"/>
          <w:szCs w:val="22"/>
        </w:rPr>
      </w:pPr>
      <w:r>
        <w:rPr>
          <w:rFonts w:ascii="Arial" w:hAnsi="Arial" w:cs="Arial"/>
          <w:sz w:val="22"/>
          <w:szCs w:val="22"/>
        </w:rPr>
        <w:br w:type="page"/>
      </w:r>
    </w:p>
    <w:p w:rsidR="00BC3F39" w:rsidRDefault="00BC3F39" w:rsidP="00770523">
      <w:pPr>
        <w:jc w:val="both"/>
        <w:rPr>
          <w:rFonts w:ascii="Arial" w:hAnsi="Arial" w:cs="Arial"/>
          <w:sz w:val="22"/>
          <w:szCs w:val="22"/>
        </w:rPr>
      </w:pPr>
    </w:p>
    <w:p w:rsidR="00BC3F39" w:rsidRDefault="00BC3F39" w:rsidP="00770523">
      <w:pPr>
        <w:jc w:val="both"/>
        <w:rPr>
          <w:rFonts w:ascii="Arial" w:hAnsi="Arial" w:cs="Arial"/>
          <w:sz w:val="22"/>
          <w:szCs w:val="22"/>
        </w:rPr>
      </w:pPr>
    </w:p>
    <w:p w:rsidR="00ED1610" w:rsidRPr="00FC6D2F" w:rsidRDefault="00BC3F39" w:rsidP="00770523">
      <w:pPr>
        <w:jc w:val="both"/>
        <w:rPr>
          <w:rFonts w:ascii="Arial" w:hAnsi="Arial" w:cs="Arial"/>
          <w:sz w:val="22"/>
          <w:szCs w:val="22"/>
        </w:rPr>
      </w:pPr>
      <w:r>
        <w:rPr>
          <w:rFonts w:ascii="Arial" w:hAnsi="Arial" w:cs="Arial"/>
          <w:sz w:val="22"/>
          <w:szCs w:val="22"/>
        </w:rPr>
        <w:t>Índice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1"/>
        <w:gridCol w:w="7554"/>
        <w:gridCol w:w="533"/>
      </w:tblGrid>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90304D" w:rsidP="00770523">
            <w:pPr>
              <w:jc w:val="both"/>
              <w:rPr>
                <w:rFonts w:ascii="Tahoma" w:hAnsi="Tahoma" w:cs="Tahoma"/>
                <w:sz w:val="22"/>
                <w:szCs w:val="22"/>
              </w:rPr>
            </w:pPr>
            <w:r w:rsidRPr="00BC3F39">
              <w:rPr>
                <w:rFonts w:ascii="Tahoma" w:hAnsi="Tahoma" w:cs="Tahoma"/>
                <w:sz w:val="22"/>
                <w:szCs w:val="22"/>
              </w:rPr>
              <w:t>Antecedentes</w:t>
            </w:r>
            <w:r w:rsidR="00744779" w:rsidRPr="00BC3F39">
              <w:rPr>
                <w:rFonts w:ascii="Tahoma" w:hAnsi="Tahoma" w:cs="Tahoma"/>
                <w:sz w:val="22"/>
                <w:szCs w:val="22"/>
              </w:rPr>
              <w:t xml:space="preserve"> generales</w:t>
            </w:r>
            <w:r w:rsidR="00FB28A2" w:rsidRPr="00BC3F39">
              <w:rPr>
                <w:rFonts w:ascii="Tahoma" w:hAnsi="Tahoma" w:cs="Tahoma"/>
                <w:sz w:val="22"/>
                <w:szCs w:val="22"/>
              </w:rPr>
              <w:t>…</w:t>
            </w:r>
            <w:r w:rsidR="003C02CA" w:rsidRPr="00BC3F39">
              <w:rPr>
                <w:rFonts w:ascii="Tahoma" w:hAnsi="Tahoma" w:cs="Tahoma"/>
                <w:sz w:val="22"/>
                <w:szCs w:val="22"/>
              </w:rPr>
              <w:t>…………………</w:t>
            </w:r>
            <w:r w:rsidR="003211E0">
              <w:rPr>
                <w:rFonts w:ascii="Tahoma" w:hAnsi="Tahoma" w:cs="Tahoma"/>
                <w:sz w:val="22"/>
                <w:szCs w:val="22"/>
              </w:rPr>
              <w:t>…….</w:t>
            </w:r>
            <w:r w:rsidR="003C02CA" w:rsidRPr="00BC3F39">
              <w:rPr>
                <w:rFonts w:ascii="Tahoma" w:hAnsi="Tahoma" w:cs="Tahoma"/>
                <w:sz w:val="22"/>
                <w:szCs w:val="22"/>
              </w:rPr>
              <w:t>……………………….</w:t>
            </w:r>
            <w:r w:rsidR="00A215FD"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II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251E33" w:rsidP="00770523">
            <w:pPr>
              <w:jc w:val="both"/>
              <w:rPr>
                <w:rFonts w:ascii="Tahoma" w:hAnsi="Tahoma" w:cs="Tahoma"/>
                <w:sz w:val="22"/>
                <w:szCs w:val="22"/>
              </w:rPr>
            </w:pPr>
            <w:r w:rsidRPr="00BC3F39">
              <w:rPr>
                <w:rFonts w:ascii="Tahoma" w:hAnsi="Tahoma" w:cs="Tahoma"/>
                <w:sz w:val="22"/>
                <w:szCs w:val="22"/>
              </w:rPr>
              <w:t>Control de cambios</w:t>
            </w:r>
            <w:r w:rsidR="00FB28A2" w:rsidRPr="00BC3F39">
              <w:rPr>
                <w:rFonts w:ascii="Tahoma" w:hAnsi="Tahoma" w:cs="Tahoma"/>
                <w:sz w:val="22"/>
                <w:szCs w:val="22"/>
              </w:rPr>
              <w:t>…</w:t>
            </w:r>
            <w:r w:rsidR="003C02CA" w:rsidRPr="00BC3F39">
              <w:rPr>
                <w:rFonts w:ascii="Tahoma" w:hAnsi="Tahoma" w:cs="Tahoma"/>
                <w:sz w:val="22"/>
                <w:szCs w:val="22"/>
              </w:rPr>
              <w:t>………………………………</w:t>
            </w:r>
            <w:r w:rsidR="003211E0">
              <w:rPr>
                <w:rFonts w:ascii="Tahoma" w:hAnsi="Tahoma" w:cs="Tahoma"/>
                <w:sz w:val="22"/>
                <w:szCs w:val="22"/>
              </w:rPr>
              <w:t>…….</w:t>
            </w:r>
            <w:r w:rsidR="003C02CA" w:rsidRPr="00BC3F39">
              <w:rPr>
                <w:rFonts w:ascii="Tahoma" w:hAnsi="Tahoma" w:cs="Tahoma"/>
                <w:sz w:val="22"/>
                <w:szCs w:val="22"/>
              </w:rPr>
              <w:t>…….</w:t>
            </w:r>
            <w:r w:rsidR="008A4DEB" w:rsidRPr="00BC3F39">
              <w:rPr>
                <w:rFonts w:ascii="Tahoma" w:hAnsi="Tahoma" w:cs="Tahoma"/>
                <w:sz w:val="22"/>
                <w:szCs w:val="22"/>
              </w:rPr>
              <w:t>……………</w:t>
            </w:r>
            <w:r w:rsidR="003211E0">
              <w:rPr>
                <w:rFonts w:ascii="Tahoma" w:hAnsi="Tahoma" w:cs="Tahoma"/>
                <w:sz w:val="22"/>
                <w:szCs w:val="22"/>
              </w:rPr>
              <w:t>..</w:t>
            </w:r>
            <w:r w:rsidR="008A4DEB" w:rsidRPr="00BC3F39">
              <w:rPr>
                <w:rFonts w:ascii="Tahoma" w:hAnsi="Tahoma" w:cs="Tahoma"/>
                <w:sz w:val="22"/>
                <w:szCs w:val="22"/>
              </w:rPr>
              <w:t>……</w:t>
            </w:r>
            <w:r w:rsidR="0072379F" w:rsidRPr="00BC3F39">
              <w:rPr>
                <w:rFonts w:ascii="Tahoma" w:hAnsi="Tahoma" w:cs="Tahoma"/>
                <w:sz w:val="22"/>
                <w:szCs w:val="22"/>
              </w:rPr>
              <w:t>.</w:t>
            </w:r>
            <w:r w:rsidR="008A4DEB" w:rsidRPr="00BC3F39">
              <w:rPr>
                <w:rFonts w:ascii="Tahoma" w:hAnsi="Tahoma" w:cs="Tahoma"/>
                <w:sz w:val="22"/>
                <w:szCs w:val="22"/>
              </w:rPr>
              <w:t>…</w:t>
            </w:r>
          </w:p>
          <w:p w:rsidR="00EB69A6" w:rsidRPr="00BC3F39" w:rsidRDefault="003211E0" w:rsidP="00770523">
            <w:pPr>
              <w:jc w:val="both"/>
              <w:rPr>
                <w:rFonts w:ascii="Tahoma" w:hAnsi="Tahoma" w:cs="Tahoma"/>
                <w:sz w:val="22"/>
                <w:szCs w:val="22"/>
              </w:rPr>
            </w:pPr>
            <w:r>
              <w:rPr>
                <w:rFonts w:ascii="Tahoma" w:hAnsi="Tahoma" w:cs="Tahoma"/>
                <w:sz w:val="22"/>
                <w:szCs w:val="22"/>
              </w:rPr>
              <w:t>.</w:t>
            </w: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III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3211E0" w:rsidP="00770523">
            <w:pPr>
              <w:jc w:val="both"/>
              <w:rPr>
                <w:rFonts w:ascii="Tahoma" w:hAnsi="Tahoma" w:cs="Tahoma"/>
                <w:sz w:val="22"/>
                <w:szCs w:val="22"/>
              </w:rPr>
            </w:pPr>
            <w:r>
              <w:rPr>
                <w:rFonts w:ascii="Tahoma" w:hAnsi="Tahoma" w:cs="Tahoma"/>
                <w:sz w:val="22"/>
                <w:szCs w:val="22"/>
              </w:rPr>
              <w:t>.</w:t>
            </w:r>
            <w:r w:rsidR="00FB28A2" w:rsidRPr="00BC3F39">
              <w:rPr>
                <w:rFonts w:ascii="Tahoma" w:hAnsi="Tahoma" w:cs="Tahoma"/>
                <w:sz w:val="22"/>
                <w:szCs w:val="22"/>
              </w:rPr>
              <w:t>Objetivo…</w:t>
            </w:r>
            <w:r w:rsidR="003C02CA" w:rsidRPr="00BC3F39">
              <w:rPr>
                <w:rFonts w:ascii="Tahoma" w:hAnsi="Tahoma" w:cs="Tahoma"/>
                <w:sz w:val="22"/>
                <w:szCs w:val="22"/>
              </w:rPr>
              <w:t>……………………….</w:t>
            </w:r>
            <w:r w:rsidR="008A4DEB" w:rsidRPr="00BC3F39">
              <w:rPr>
                <w:rFonts w:ascii="Tahoma" w:hAnsi="Tahoma" w:cs="Tahoma"/>
                <w:sz w:val="22"/>
                <w:szCs w:val="22"/>
              </w:rPr>
              <w:t>……………………………</w:t>
            </w:r>
            <w:r>
              <w:rPr>
                <w:rFonts w:ascii="Tahoma" w:hAnsi="Tahoma" w:cs="Tahoma"/>
                <w:sz w:val="22"/>
                <w:szCs w:val="22"/>
              </w:rPr>
              <w:t>…….</w:t>
            </w:r>
            <w:r w:rsidR="008A4DEB" w:rsidRPr="00BC3F39">
              <w:rPr>
                <w:rFonts w:ascii="Tahoma" w:hAnsi="Tahoma" w:cs="Tahoma"/>
                <w:sz w:val="22"/>
                <w:szCs w:val="22"/>
              </w:rPr>
              <w:t>………</w:t>
            </w:r>
            <w:r>
              <w:rPr>
                <w:rFonts w:ascii="Tahoma" w:hAnsi="Tahoma" w:cs="Tahoma"/>
                <w:sz w:val="22"/>
                <w:szCs w:val="22"/>
              </w:rPr>
              <w:t>…..</w:t>
            </w:r>
            <w:r w:rsidR="008A4DEB"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4B18DF" w:rsidP="00770523">
            <w:pPr>
              <w:jc w:val="both"/>
              <w:rPr>
                <w:rFonts w:ascii="Tahoma" w:hAnsi="Tahoma" w:cs="Tahoma"/>
                <w:sz w:val="22"/>
                <w:szCs w:val="22"/>
              </w:rPr>
            </w:pPr>
            <w:r w:rsidRPr="00BC3F39">
              <w:rPr>
                <w:rFonts w:ascii="Tahoma" w:hAnsi="Tahoma" w:cs="Tahoma"/>
                <w:sz w:val="22"/>
                <w:szCs w:val="22"/>
              </w:rPr>
              <w:t>IV</w:t>
            </w:r>
            <w:r w:rsidR="008D5ED8" w:rsidRPr="00BC3F39">
              <w:rPr>
                <w:rFonts w:ascii="Tahoma" w:hAnsi="Tahoma" w:cs="Tahoma"/>
                <w:sz w:val="22"/>
                <w:szCs w:val="22"/>
              </w:rPr>
              <w:t xml:space="preserve"> </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FB28A2" w:rsidP="00770523">
            <w:pPr>
              <w:jc w:val="both"/>
              <w:rPr>
                <w:rFonts w:ascii="Tahoma" w:hAnsi="Tahoma" w:cs="Tahoma"/>
                <w:sz w:val="22"/>
                <w:szCs w:val="22"/>
              </w:rPr>
            </w:pPr>
            <w:r w:rsidRPr="00BC3F39">
              <w:rPr>
                <w:rFonts w:ascii="Tahoma" w:hAnsi="Tahoma" w:cs="Tahoma"/>
                <w:sz w:val="22"/>
                <w:szCs w:val="22"/>
              </w:rPr>
              <w:t>Alcance</w:t>
            </w:r>
            <w:r w:rsidR="003211E0">
              <w:rPr>
                <w:rFonts w:ascii="Tahoma" w:hAnsi="Tahoma" w:cs="Tahoma"/>
                <w:sz w:val="22"/>
                <w:szCs w:val="22"/>
              </w:rPr>
              <w:t>…….</w:t>
            </w:r>
            <w:r w:rsidRPr="00BC3F39">
              <w:rPr>
                <w:rFonts w:ascii="Tahoma" w:hAnsi="Tahoma" w:cs="Tahoma"/>
                <w:sz w:val="22"/>
                <w:szCs w:val="22"/>
              </w:rPr>
              <w:t>…</w:t>
            </w:r>
            <w:r w:rsidR="003C02CA" w:rsidRPr="00BC3F39">
              <w:rPr>
                <w:rFonts w:ascii="Tahoma" w:hAnsi="Tahoma" w:cs="Tahoma"/>
                <w:sz w:val="22"/>
                <w:szCs w:val="22"/>
              </w:rPr>
              <w:t>………………..</w:t>
            </w:r>
            <w:r w:rsidR="008A4DEB" w:rsidRPr="00BC3F39">
              <w:rPr>
                <w:rFonts w:ascii="Tahoma" w:hAnsi="Tahoma" w:cs="Tahoma"/>
                <w:sz w:val="22"/>
                <w:szCs w:val="22"/>
              </w:rPr>
              <w:t>……………………………………</w:t>
            </w:r>
            <w:r w:rsidR="003211E0">
              <w:rPr>
                <w:rFonts w:ascii="Tahoma" w:hAnsi="Tahoma" w:cs="Tahoma"/>
                <w:sz w:val="22"/>
                <w:szCs w:val="22"/>
              </w:rPr>
              <w:t>…….</w:t>
            </w:r>
            <w:r w:rsidR="008A4DEB" w:rsidRPr="00BC3F39">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V</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ED1610" w:rsidP="00770523">
            <w:pPr>
              <w:jc w:val="both"/>
              <w:rPr>
                <w:rFonts w:ascii="Tahoma" w:hAnsi="Tahoma" w:cs="Tahoma"/>
                <w:sz w:val="22"/>
                <w:szCs w:val="22"/>
              </w:rPr>
            </w:pPr>
            <w:r w:rsidRPr="00BC3F39">
              <w:rPr>
                <w:rFonts w:ascii="Tahoma" w:hAnsi="Tahoma" w:cs="Tahoma"/>
                <w:sz w:val="22"/>
                <w:szCs w:val="22"/>
              </w:rPr>
              <w:t xml:space="preserve">Marco </w:t>
            </w:r>
            <w:r w:rsidR="00C40762" w:rsidRPr="00BC3F39">
              <w:rPr>
                <w:rFonts w:ascii="Tahoma" w:hAnsi="Tahoma" w:cs="Tahoma"/>
                <w:sz w:val="22"/>
                <w:szCs w:val="22"/>
              </w:rPr>
              <w:t>R</w:t>
            </w:r>
            <w:r w:rsidRPr="00BC3F39">
              <w:rPr>
                <w:rFonts w:ascii="Tahoma" w:hAnsi="Tahoma" w:cs="Tahoma"/>
                <w:sz w:val="22"/>
                <w:szCs w:val="22"/>
              </w:rPr>
              <w:t>egulatorio</w:t>
            </w:r>
            <w:r w:rsidR="003211E0">
              <w:rPr>
                <w:rFonts w:ascii="Tahoma" w:hAnsi="Tahoma" w:cs="Tahoma"/>
                <w:sz w:val="22"/>
                <w:szCs w:val="22"/>
              </w:rPr>
              <w:t>……</w:t>
            </w:r>
            <w:r w:rsidR="00C40762" w:rsidRPr="00BC3F39">
              <w:rPr>
                <w:rFonts w:ascii="Tahoma" w:hAnsi="Tahoma" w:cs="Tahoma"/>
                <w:sz w:val="22"/>
                <w:szCs w:val="22"/>
              </w:rPr>
              <w:t>…</w:t>
            </w:r>
            <w:r w:rsidR="003C02CA" w:rsidRPr="00BC3F39">
              <w:rPr>
                <w:rFonts w:ascii="Tahoma" w:hAnsi="Tahoma" w:cs="Tahoma"/>
                <w:sz w:val="22"/>
                <w:szCs w:val="22"/>
              </w:rPr>
              <w:t>………</w:t>
            </w:r>
            <w:r w:rsidR="008A4DEB" w:rsidRPr="00BC3F39">
              <w:rPr>
                <w:rFonts w:ascii="Tahoma" w:hAnsi="Tahoma" w:cs="Tahoma"/>
                <w:sz w:val="22"/>
                <w:szCs w:val="22"/>
              </w:rPr>
              <w:t>…………………………</w:t>
            </w:r>
            <w:r w:rsidR="00967850" w:rsidRPr="00BC3F39">
              <w:rPr>
                <w:rFonts w:ascii="Tahoma" w:hAnsi="Tahoma" w:cs="Tahoma"/>
                <w:sz w:val="22"/>
                <w:szCs w:val="22"/>
              </w:rPr>
              <w:t>………</w:t>
            </w:r>
            <w:r w:rsidR="003C02CA" w:rsidRPr="00BC3F39">
              <w:rPr>
                <w:rFonts w:ascii="Tahoma" w:hAnsi="Tahoma" w:cs="Tahoma"/>
                <w:sz w:val="22"/>
                <w:szCs w:val="22"/>
              </w:rPr>
              <w:t>.</w:t>
            </w:r>
            <w:r w:rsidR="00430C74" w:rsidRPr="00BC3F39">
              <w:rPr>
                <w:rFonts w:ascii="Tahoma" w:hAnsi="Tahoma" w:cs="Tahoma"/>
                <w:sz w:val="22"/>
                <w:szCs w:val="22"/>
              </w:rPr>
              <w:t>…</w:t>
            </w:r>
            <w:r w:rsidR="003211E0">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745E13" w:rsidP="00770523">
            <w:pPr>
              <w:jc w:val="both"/>
              <w:rPr>
                <w:rFonts w:ascii="Tahoma" w:hAnsi="Tahoma" w:cs="Tahoma"/>
                <w:sz w:val="22"/>
                <w:szCs w:val="22"/>
              </w:rPr>
            </w:pPr>
            <w:r>
              <w:rPr>
                <w:rFonts w:ascii="Tahoma" w:hAnsi="Tahoma" w:cs="Tahoma"/>
                <w:sz w:val="22"/>
                <w:szCs w:val="22"/>
              </w:rPr>
              <w:t>3</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AC78FD" w:rsidRPr="00BC3F39" w:rsidRDefault="00AC78FD" w:rsidP="00770523">
            <w:pPr>
              <w:jc w:val="both"/>
              <w:rPr>
                <w:rFonts w:ascii="Tahoma" w:hAnsi="Tahoma" w:cs="Tahoma"/>
                <w:sz w:val="22"/>
                <w:szCs w:val="22"/>
              </w:rPr>
            </w:pPr>
            <w:r w:rsidRPr="00BC3F39">
              <w:rPr>
                <w:rFonts w:ascii="Tahoma" w:hAnsi="Tahoma" w:cs="Tahoma"/>
                <w:sz w:val="22"/>
                <w:szCs w:val="22"/>
              </w:rPr>
              <w:t>V</w:t>
            </w:r>
            <w:r w:rsidR="00A2230D" w:rsidRPr="00BC3F39">
              <w:rPr>
                <w:rFonts w:ascii="Tahoma" w:hAnsi="Tahoma" w:cs="Tahoma"/>
                <w:sz w:val="22"/>
                <w:szCs w:val="22"/>
              </w:rPr>
              <w:t>I</w:t>
            </w:r>
          </w:p>
        </w:tc>
        <w:tc>
          <w:tcPr>
            <w:tcW w:w="7694" w:type="dxa"/>
            <w:tcBorders>
              <w:top w:val="single" w:sz="4" w:space="0" w:color="FFFFFF"/>
              <w:left w:val="single" w:sz="4" w:space="0" w:color="FFFFFF"/>
              <w:bottom w:val="single" w:sz="4" w:space="0" w:color="FFFFFF"/>
              <w:right w:val="single" w:sz="4" w:space="0" w:color="FFFFFF"/>
            </w:tcBorders>
          </w:tcPr>
          <w:p w:rsidR="00AC78FD" w:rsidRPr="00BC3F39" w:rsidRDefault="00FB28A2" w:rsidP="00770523">
            <w:pPr>
              <w:jc w:val="both"/>
              <w:rPr>
                <w:rFonts w:ascii="Tahoma" w:hAnsi="Tahoma" w:cs="Tahoma"/>
                <w:sz w:val="22"/>
                <w:szCs w:val="22"/>
              </w:rPr>
            </w:pPr>
            <w:r w:rsidRPr="00BC3F39">
              <w:rPr>
                <w:rFonts w:ascii="Tahoma" w:hAnsi="Tahoma" w:cs="Tahoma"/>
                <w:sz w:val="22"/>
                <w:szCs w:val="22"/>
              </w:rPr>
              <w:t>Definiciones…</w:t>
            </w:r>
            <w:r w:rsidR="003C02CA" w:rsidRPr="00BC3F39">
              <w:rPr>
                <w:rFonts w:ascii="Tahoma" w:hAnsi="Tahoma" w:cs="Tahoma"/>
                <w:sz w:val="22"/>
                <w:szCs w:val="22"/>
              </w:rPr>
              <w:t>…………</w:t>
            </w:r>
            <w:r w:rsidR="003211E0">
              <w:rPr>
                <w:rFonts w:ascii="Tahoma" w:hAnsi="Tahoma" w:cs="Tahoma"/>
                <w:sz w:val="22"/>
                <w:szCs w:val="22"/>
              </w:rPr>
              <w:t>……</w:t>
            </w:r>
            <w:r w:rsidR="003C02CA" w:rsidRPr="00BC3F39">
              <w:rPr>
                <w:rFonts w:ascii="Tahoma" w:hAnsi="Tahoma" w:cs="Tahoma"/>
                <w:sz w:val="22"/>
                <w:szCs w:val="22"/>
              </w:rPr>
              <w:t>………………………</w:t>
            </w:r>
            <w:r w:rsidR="00967850" w:rsidRPr="00BC3F39">
              <w:rPr>
                <w:rFonts w:ascii="Tahoma" w:hAnsi="Tahoma" w:cs="Tahoma"/>
                <w:sz w:val="22"/>
                <w:szCs w:val="22"/>
              </w:rPr>
              <w:t>………………..</w:t>
            </w:r>
            <w:r w:rsidR="00AC78FD" w:rsidRPr="00BC3F39">
              <w:rPr>
                <w:rFonts w:ascii="Tahoma" w:hAnsi="Tahoma" w:cs="Tahoma"/>
                <w:sz w:val="22"/>
                <w:szCs w:val="22"/>
              </w:rPr>
              <w:t>………</w:t>
            </w:r>
            <w:r w:rsidR="00430C74" w:rsidRPr="00BC3F39">
              <w:rPr>
                <w:rFonts w:ascii="Tahoma" w:hAnsi="Tahoma" w:cs="Tahoma"/>
                <w:sz w:val="22"/>
                <w:szCs w:val="22"/>
              </w:rPr>
              <w:t>…</w:t>
            </w:r>
            <w:r w:rsidR="003211E0">
              <w:rPr>
                <w:rFonts w:ascii="Tahoma" w:hAnsi="Tahoma" w:cs="Tahoma"/>
                <w:sz w:val="22"/>
                <w:szCs w:val="22"/>
              </w:rPr>
              <w:t>……..</w:t>
            </w:r>
            <w:r w:rsidR="00430C74" w:rsidRPr="00BC3F39">
              <w:rPr>
                <w:rFonts w:ascii="Tahoma" w:hAnsi="Tahoma" w:cs="Tahoma"/>
                <w:sz w:val="22"/>
                <w:szCs w:val="22"/>
              </w:rPr>
              <w:t>…</w:t>
            </w:r>
            <w:r w:rsidR="0072379F" w:rsidRPr="00BC3F39">
              <w:rPr>
                <w:rFonts w:ascii="Tahoma" w:hAnsi="Tahoma" w:cs="Tahoma"/>
                <w:sz w:val="22"/>
                <w:szCs w:val="22"/>
              </w:rPr>
              <w:t>.</w:t>
            </w:r>
            <w:r w:rsidR="003211E0">
              <w:rPr>
                <w:rFonts w:ascii="Tahoma" w:hAnsi="Tahoma" w:cs="Tahoma"/>
                <w:sz w:val="22"/>
                <w:szCs w:val="22"/>
              </w:rPr>
              <w:t>.</w:t>
            </w:r>
          </w:p>
          <w:p w:rsidR="00AC78FD" w:rsidRPr="00BC3F39" w:rsidRDefault="00AC78FD"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AC78FD" w:rsidRPr="00BC3F39" w:rsidRDefault="00A64FCE" w:rsidP="00770523">
            <w:pPr>
              <w:jc w:val="both"/>
              <w:rPr>
                <w:rFonts w:ascii="Tahoma" w:hAnsi="Tahoma" w:cs="Tahoma"/>
                <w:sz w:val="22"/>
                <w:szCs w:val="22"/>
              </w:rPr>
            </w:pPr>
            <w:r w:rsidRPr="00BC3F39">
              <w:rPr>
                <w:rFonts w:ascii="Tahoma" w:hAnsi="Tahoma" w:cs="Tahoma"/>
                <w:sz w:val="22"/>
                <w:szCs w:val="22"/>
              </w:rPr>
              <w:t>4</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D1610" w:rsidRPr="00BC3F39" w:rsidRDefault="00375713" w:rsidP="00770523">
            <w:pPr>
              <w:jc w:val="both"/>
              <w:rPr>
                <w:rFonts w:ascii="Tahoma" w:hAnsi="Tahoma" w:cs="Tahoma"/>
                <w:sz w:val="22"/>
                <w:szCs w:val="22"/>
              </w:rPr>
            </w:pPr>
            <w:r w:rsidRPr="00BC3F39">
              <w:rPr>
                <w:rFonts w:ascii="Tahoma" w:hAnsi="Tahoma" w:cs="Tahoma"/>
                <w:sz w:val="22"/>
                <w:szCs w:val="22"/>
              </w:rPr>
              <w:t>VII</w:t>
            </w:r>
          </w:p>
        </w:tc>
        <w:tc>
          <w:tcPr>
            <w:tcW w:w="7694" w:type="dxa"/>
            <w:tcBorders>
              <w:top w:val="single" w:sz="4" w:space="0" w:color="FFFFFF"/>
              <w:left w:val="single" w:sz="4" w:space="0" w:color="FFFFFF"/>
              <w:bottom w:val="single" w:sz="4" w:space="0" w:color="FFFFFF"/>
              <w:right w:val="single" w:sz="4" w:space="0" w:color="FFFFFF"/>
            </w:tcBorders>
          </w:tcPr>
          <w:p w:rsidR="00ED1610" w:rsidRPr="00BC3F39" w:rsidRDefault="009E290A" w:rsidP="00770523">
            <w:pPr>
              <w:jc w:val="both"/>
              <w:rPr>
                <w:rFonts w:ascii="Tahoma" w:hAnsi="Tahoma" w:cs="Tahoma"/>
                <w:sz w:val="22"/>
                <w:szCs w:val="22"/>
              </w:rPr>
            </w:pPr>
            <w:r w:rsidRPr="00BC3F39">
              <w:rPr>
                <w:rFonts w:ascii="Tahoma" w:hAnsi="Tahoma" w:cs="Tahoma"/>
                <w:sz w:val="22"/>
                <w:szCs w:val="22"/>
              </w:rPr>
              <w:t xml:space="preserve">Antecedentes para la determinación de la </w:t>
            </w:r>
            <w:r w:rsidR="003C02CA" w:rsidRPr="00BC3F39">
              <w:rPr>
                <w:rFonts w:ascii="Tahoma" w:hAnsi="Tahoma" w:cs="Tahoma"/>
                <w:sz w:val="22"/>
                <w:szCs w:val="22"/>
              </w:rPr>
              <w:t>Política…...</w:t>
            </w:r>
            <w:r w:rsidR="008A4DEB" w:rsidRPr="00BC3F39">
              <w:rPr>
                <w:rFonts w:ascii="Tahoma" w:hAnsi="Tahoma" w:cs="Tahoma"/>
                <w:sz w:val="22"/>
                <w:szCs w:val="22"/>
              </w:rPr>
              <w:t>……………</w:t>
            </w:r>
            <w:r w:rsidR="003C02CA" w:rsidRPr="00BC3F39">
              <w:rPr>
                <w:rFonts w:ascii="Tahoma" w:hAnsi="Tahoma" w:cs="Tahoma"/>
                <w:sz w:val="22"/>
                <w:szCs w:val="22"/>
              </w:rPr>
              <w:t>…</w:t>
            </w:r>
            <w:r w:rsidR="007D32DE" w:rsidRPr="00BC3F39">
              <w:rPr>
                <w:rFonts w:ascii="Tahoma" w:hAnsi="Tahoma" w:cs="Tahoma"/>
                <w:sz w:val="22"/>
                <w:szCs w:val="22"/>
              </w:rPr>
              <w:t>..</w:t>
            </w:r>
            <w:r w:rsidR="003C02CA" w:rsidRPr="00BC3F39">
              <w:rPr>
                <w:rFonts w:ascii="Tahoma" w:hAnsi="Tahoma" w:cs="Tahoma"/>
                <w:sz w:val="22"/>
                <w:szCs w:val="22"/>
              </w:rPr>
              <w:t>…</w:t>
            </w:r>
            <w:r w:rsidR="003211E0">
              <w:rPr>
                <w:rFonts w:ascii="Tahoma" w:hAnsi="Tahoma" w:cs="Tahoma"/>
                <w:sz w:val="22"/>
                <w:szCs w:val="22"/>
              </w:rPr>
              <w:t>..</w:t>
            </w:r>
            <w:r w:rsidR="0072379F" w:rsidRPr="00BC3F39">
              <w:rPr>
                <w:rFonts w:ascii="Tahoma" w:hAnsi="Tahoma" w:cs="Tahoma"/>
                <w:sz w:val="22"/>
                <w:szCs w:val="22"/>
              </w:rPr>
              <w:t>.</w:t>
            </w:r>
          </w:p>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491AC1" w:rsidP="00770523">
            <w:pPr>
              <w:jc w:val="both"/>
              <w:rPr>
                <w:rFonts w:ascii="Tahoma" w:hAnsi="Tahoma" w:cs="Tahoma"/>
                <w:sz w:val="22"/>
                <w:szCs w:val="22"/>
              </w:rPr>
            </w:pPr>
            <w:r w:rsidRPr="00BC3F39">
              <w:rPr>
                <w:rFonts w:ascii="Tahoma" w:hAnsi="Tahoma" w:cs="Tahoma"/>
                <w:sz w:val="22"/>
                <w:szCs w:val="22"/>
              </w:rPr>
              <w:t>4</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996298" w:rsidRPr="00BC3F39" w:rsidRDefault="00410697" w:rsidP="00770523">
            <w:pPr>
              <w:jc w:val="both"/>
              <w:rPr>
                <w:rFonts w:ascii="Tahoma" w:hAnsi="Tahoma" w:cs="Tahoma"/>
                <w:sz w:val="22"/>
                <w:szCs w:val="22"/>
              </w:rPr>
            </w:pPr>
            <w:r w:rsidRPr="00BC3F39">
              <w:rPr>
                <w:rFonts w:ascii="Tahoma" w:hAnsi="Tahoma" w:cs="Tahoma"/>
                <w:sz w:val="22"/>
                <w:szCs w:val="22"/>
              </w:rPr>
              <w:t>VIII</w:t>
            </w:r>
          </w:p>
        </w:tc>
        <w:tc>
          <w:tcPr>
            <w:tcW w:w="7694" w:type="dxa"/>
            <w:tcBorders>
              <w:top w:val="single" w:sz="4" w:space="0" w:color="FFFFFF"/>
              <w:left w:val="single" w:sz="4" w:space="0" w:color="FFFFFF"/>
              <w:bottom w:val="single" w:sz="4" w:space="0" w:color="FFFFFF"/>
              <w:right w:val="single" w:sz="4" w:space="0" w:color="FFFFFF"/>
            </w:tcBorders>
          </w:tcPr>
          <w:p w:rsidR="00996298" w:rsidRPr="00BC3F39" w:rsidRDefault="00967850" w:rsidP="00770523">
            <w:pPr>
              <w:jc w:val="both"/>
              <w:rPr>
                <w:rFonts w:ascii="Tahoma" w:hAnsi="Tahoma" w:cs="Tahoma"/>
                <w:sz w:val="22"/>
                <w:szCs w:val="22"/>
              </w:rPr>
            </w:pPr>
            <w:r w:rsidRPr="00BC3F39">
              <w:rPr>
                <w:rFonts w:ascii="Tahoma" w:hAnsi="Tahoma" w:cs="Tahoma"/>
                <w:sz w:val="22"/>
                <w:szCs w:val="22"/>
              </w:rPr>
              <w:t xml:space="preserve">Política de traspasos de recursos financieros de la Tesorería al </w:t>
            </w:r>
            <w:r w:rsidR="00602FA1">
              <w:rPr>
                <w:rFonts w:ascii="Tahoma" w:hAnsi="Tahoma" w:cs="Tahoma"/>
                <w:sz w:val="22"/>
                <w:szCs w:val="22"/>
              </w:rPr>
              <w:t>FANVIT</w:t>
            </w:r>
            <w:r w:rsidR="0072379F" w:rsidRPr="00BC3F39">
              <w:rPr>
                <w:rFonts w:ascii="Tahoma" w:hAnsi="Tahoma" w:cs="Tahoma"/>
                <w:sz w:val="22"/>
                <w:szCs w:val="22"/>
              </w:rPr>
              <w:t>.</w:t>
            </w:r>
          </w:p>
          <w:p w:rsidR="00996298" w:rsidRPr="00BC3F39" w:rsidRDefault="00996298"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996298" w:rsidRPr="00BC3F39" w:rsidRDefault="00491AC1" w:rsidP="00770523">
            <w:pPr>
              <w:jc w:val="both"/>
              <w:rPr>
                <w:rFonts w:ascii="Tahoma" w:hAnsi="Tahoma" w:cs="Tahoma"/>
                <w:sz w:val="22"/>
                <w:szCs w:val="22"/>
              </w:rPr>
            </w:pPr>
            <w:r w:rsidRPr="00BC3F39">
              <w:rPr>
                <w:rFonts w:ascii="Tahoma" w:hAnsi="Tahoma" w:cs="Tahoma"/>
                <w:sz w:val="22"/>
                <w:szCs w:val="22"/>
              </w:rPr>
              <w:t>5</w:t>
            </w: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EA6044" w:rsidRPr="00BC3F39" w:rsidRDefault="00EA6044" w:rsidP="00770523">
            <w:pPr>
              <w:jc w:val="both"/>
              <w:rPr>
                <w:rFonts w:ascii="Tahoma" w:hAnsi="Tahoma" w:cs="Tahoma"/>
                <w:sz w:val="22"/>
                <w:szCs w:val="22"/>
              </w:rPr>
            </w:pPr>
          </w:p>
        </w:tc>
        <w:tc>
          <w:tcPr>
            <w:tcW w:w="7694" w:type="dxa"/>
            <w:tcBorders>
              <w:top w:val="single" w:sz="4" w:space="0" w:color="FFFFFF"/>
              <w:left w:val="single" w:sz="4" w:space="0" w:color="FFFFFF"/>
              <w:bottom w:val="single" w:sz="4" w:space="0" w:color="FFFFFF"/>
              <w:right w:val="single" w:sz="4" w:space="0" w:color="FFFFFF"/>
            </w:tcBorders>
          </w:tcPr>
          <w:p w:rsidR="00EB69A6" w:rsidRPr="00BC3F39" w:rsidRDefault="00EB69A6"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ED1610" w:rsidRPr="00BC3F39" w:rsidRDefault="00ED1610" w:rsidP="00770523">
            <w:pPr>
              <w:jc w:val="both"/>
              <w:rPr>
                <w:rFonts w:ascii="Tahoma" w:hAnsi="Tahoma" w:cs="Tahoma"/>
                <w:sz w:val="22"/>
                <w:szCs w:val="22"/>
              </w:rPr>
            </w:pPr>
          </w:p>
        </w:tc>
      </w:tr>
      <w:tr w:rsidR="009E290A" w:rsidRPr="00BC3F39" w:rsidTr="003C02CA">
        <w:tc>
          <w:tcPr>
            <w:tcW w:w="778" w:type="dxa"/>
            <w:tcBorders>
              <w:top w:val="single" w:sz="4" w:space="0" w:color="FFFFFF"/>
              <w:left w:val="single" w:sz="4" w:space="0" w:color="FFFFFF"/>
              <w:bottom w:val="single" w:sz="4" w:space="0" w:color="FFFFFF"/>
              <w:right w:val="single" w:sz="4" w:space="0" w:color="FFFFFF"/>
            </w:tcBorders>
          </w:tcPr>
          <w:p w:rsidR="008A4DEB" w:rsidRPr="00BC3F39" w:rsidRDefault="008A4DEB" w:rsidP="00770523">
            <w:pPr>
              <w:jc w:val="both"/>
              <w:rPr>
                <w:rFonts w:ascii="Tahoma" w:hAnsi="Tahoma" w:cs="Tahoma"/>
                <w:sz w:val="22"/>
                <w:szCs w:val="22"/>
              </w:rPr>
            </w:pPr>
          </w:p>
        </w:tc>
        <w:tc>
          <w:tcPr>
            <w:tcW w:w="7694" w:type="dxa"/>
            <w:tcBorders>
              <w:top w:val="single" w:sz="4" w:space="0" w:color="FFFFFF"/>
              <w:left w:val="single" w:sz="4" w:space="0" w:color="FFFFFF"/>
              <w:bottom w:val="single" w:sz="4" w:space="0" w:color="FFFFFF"/>
              <w:right w:val="single" w:sz="4" w:space="0" w:color="FFFFFF"/>
            </w:tcBorders>
          </w:tcPr>
          <w:p w:rsidR="008A4DEB" w:rsidRPr="00BC3F39" w:rsidRDefault="008A4DEB" w:rsidP="00770523">
            <w:pPr>
              <w:jc w:val="both"/>
              <w:rPr>
                <w:rFonts w:ascii="Tahoma" w:hAnsi="Tahoma" w:cs="Tahoma"/>
                <w:sz w:val="22"/>
                <w:szCs w:val="22"/>
              </w:rPr>
            </w:pPr>
          </w:p>
        </w:tc>
        <w:tc>
          <w:tcPr>
            <w:tcW w:w="582" w:type="dxa"/>
            <w:tcBorders>
              <w:top w:val="single" w:sz="4" w:space="0" w:color="FFFFFF"/>
              <w:left w:val="single" w:sz="4" w:space="0" w:color="FFFFFF"/>
              <w:bottom w:val="single" w:sz="4" w:space="0" w:color="FFFFFF"/>
              <w:right w:val="single" w:sz="4" w:space="0" w:color="FFFFFF"/>
            </w:tcBorders>
            <w:vAlign w:val="center"/>
          </w:tcPr>
          <w:p w:rsidR="008A4DEB" w:rsidRPr="00BC3F39" w:rsidRDefault="008A4DEB" w:rsidP="00770523">
            <w:pPr>
              <w:jc w:val="both"/>
              <w:rPr>
                <w:rFonts w:ascii="Tahoma" w:hAnsi="Tahoma" w:cs="Tahoma"/>
                <w:sz w:val="22"/>
                <w:szCs w:val="22"/>
              </w:rPr>
            </w:pPr>
          </w:p>
        </w:tc>
      </w:tr>
    </w:tbl>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ED1610" w:rsidRPr="00BC3F39" w:rsidRDefault="00ED1610" w:rsidP="00770523">
      <w:pPr>
        <w:jc w:val="both"/>
        <w:rPr>
          <w:rFonts w:ascii="Tahoma" w:hAnsi="Tahoma" w:cs="Tahoma"/>
          <w:sz w:val="22"/>
          <w:szCs w:val="22"/>
        </w:rPr>
      </w:pPr>
    </w:p>
    <w:p w:rsidR="00B12D09" w:rsidRDefault="00B12D09" w:rsidP="00770523">
      <w:pPr>
        <w:jc w:val="both"/>
        <w:rPr>
          <w:rFonts w:ascii="Tahoma" w:hAnsi="Tahoma" w:cs="Tahoma"/>
          <w:sz w:val="22"/>
          <w:szCs w:val="22"/>
        </w:rPr>
      </w:pPr>
    </w:p>
    <w:p w:rsidR="00BC3F39" w:rsidRDefault="00BC3F39">
      <w:pPr>
        <w:rPr>
          <w:rFonts w:ascii="Tahoma" w:hAnsi="Tahoma" w:cs="Tahoma"/>
          <w:sz w:val="22"/>
          <w:szCs w:val="22"/>
        </w:rPr>
      </w:pPr>
      <w:r>
        <w:rPr>
          <w:rFonts w:ascii="Tahoma" w:hAnsi="Tahoma" w:cs="Tahoma"/>
          <w:sz w:val="22"/>
          <w:szCs w:val="22"/>
        </w:rPr>
        <w:br w:type="page"/>
      </w:r>
    </w:p>
    <w:tbl>
      <w:tblPr>
        <w:tblpPr w:leftFromText="141" w:rightFromText="141" w:vertAnchor="text" w:horzAnchor="margin" w:tblpY="-14"/>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4"/>
        <w:gridCol w:w="7642"/>
      </w:tblGrid>
      <w:tr w:rsidR="004A7DE2" w:rsidRPr="00BC3F39" w:rsidTr="00745E13">
        <w:trPr>
          <w:trHeight w:val="550"/>
        </w:trPr>
        <w:tc>
          <w:tcPr>
            <w:tcW w:w="2154" w:type="dxa"/>
            <w:tcBorders>
              <w:top w:val="single" w:sz="4" w:space="0" w:color="FFFFFF"/>
              <w:left w:val="single" w:sz="4" w:space="0" w:color="FFFFFF"/>
              <w:bottom w:val="single" w:sz="4" w:space="0" w:color="FFFFFF"/>
              <w:right w:val="single" w:sz="4" w:space="0" w:color="C0C0C0"/>
            </w:tcBorders>
          </w:tcPr>
          <w:p w:rsidR="004A7DE2" w:rsidRPr="00BC3F39" w:rsidRDefault="00C108F4" w:rsidP="00E31CC9">
            <w:pPr>
              <w:ind w:right="-108"/>
              <w:rPr>
                <w:rFonts w:ascii="Tahoma" w:hAnsi="Tahoma" w:cs="Tahoma"/>
                <w:sz w:val="22"/>
                <w:szCs w:val="22"/>
              </w:rPr>
            </w:pPr>
            <w:r w:rsidRPr="00BC3F39">
              <w:rPr>
                <w:rFonts w:ascii="Tahoma" w:hAnsi="Tahoma" w:cs="Tahoma"/>
                <w:b/>
                <w:sz w:val="22"/>
                <w:szCs w:val="22"/>
              </w:rPr>
              <w:lastRenderedPageBreak/>
              <w:t>I.</w:t>
            </w:r>
            <w:r w:rsidR="00BC3F39" w:rsidRPr="00BC3F39">
              <w:rPr>
                <w:rFonts w:ascii="Tahoma" w:hAnsi="Tahoma" w:cs="Tahoma"/>
                <w:b/>
                <w:sz w:val="22"/>
                <w:szCs w:val="22"/>
              </w:rPr>
              <w:t xml:space="preserve"> </w:t>
            </w:r>
            <w:r w:rsidR="0090304D" w:rsidRPr="00BC3F39">
              <w:rPr>
                <w:rFonts w:ascii="Tahoma" w:hAnsi="Tahoma" w:cs="Tahoma"/>
                <w:b/>
                <w:sz w:val="22"/>
                <w:szCs w:val="22"/>
              </w:rPr>
              <w:t>Antecedentes</w:t>
            </w:r>
            <w:r w:rsidR="00744779" w:rsidRPr="00BC3F39">
              <w:rPr>
                <w:rFonts w:ascii="Tahoma" w:hAnsi="Tahoma" w:cs="Tahoma"/>
                <w:b/>
                <w:sz w:val="22"/>
                <w:szCs w:val="22"/>
              </w:rPr>
              <w:t xml:space="preserve"> generales</w:t>
            </w:r>
            <w:r w:rsidR="004A7DE2" w:rsidRPr="00BC3F39">
              <w:rPr>
                <w:rFonts w:ascii="Tahoma" w:hAnsi="Tahoma" w:cs="Tahoma"/>
                <w:sz w:val="22"/>
                <w:szCs w:val="22"/>
              </w:rPr>
              <w:t>:</w:t>
            </w:r>
          </w:p>
        </w:tc>
        <w:tc>
          <w:tcPr>
            <w:tcW w:w="7642" w:type="dxa"/>
            <w:tcBorders>
              <w:top w:val="single" w:sz="4" w:space="0" w:color="FFFFFF"/>
              <w:left w:val="single" w:sz="4" w:space="0" w:color="C0C0C0"/>
              <w:bottom w:val="single" w:sz="4" w:space="0" w:color="FFFFFF"/>
              <w:right w:val="single" w:sz="4" w:space="0" w:color="FFFFFF"/>
            </w:tcBorders>
          </w:tcPr>
          <w:p w:rsidR="005B2DCA" w:rsidRPr="00BC3F39" w:rsidRDefault="0090304D" w:rsidP="00745E13">
            <w:pPr>
              <w:spacing w:after="160"/>
              <w:jc w:val="both"/>
              <w:rPr>
                <w:rFonts w:ascii="Tahoma" w:hAnsi="Tahoma" w:cs="Tahoma"/>
                <w:sz w:val="22"/>
                <w:szCs w:val="22"/>
              </w:rPr>
            </w:pPr>
            <w:r w:rsidRPr="00BC3F39">
              <w:rPr>
                <w:rFonts w:ascii="Tahoma" w:hAnsi="Tahoma" w:cs="Tahoma"/>
                <w:color w:val="000000" w:themeColor="text1"/>
                <w:sz w:val="22"/>
                <w:szCs w:val="22"/>
              </w:rPr>
              <w:t>Existe un procedimiento llamado “</w:t>
            </w:r>
            <w:r w:rsidRPr="00BC3F39">
              <w:rPr>
                <w:rFonts w:ascii="Tahoma" w:hAnsi="Tahoma" w:cs="Tahoma"/>
                <w:i/>
                <w:color w:val="000000" w:themeColor="text1"/>
                <w:sz w:val="22"/>
                <w:szCs w:val="22"/>
              </w:rPr>
              <w:t xml:space="preserve">Traspaso de Recursos entre la Tesorería del Instituto y el Fideicomiso del </w:t>
            </w:r>
            <w:r w:rsidR="00602FA1">
              <w:rPr>
                <w:rFonts w:ascii="Tahoma" w:hAnsi="Tahoma" w:cs="Tahoma"/>
                <w:i/>
                <w:color w:val="000000" w:themeColor="text1"/>
                <w:sz w:val="22"/>
                <w:szCs w:val="22"/>
              </w:rPr>
              <w:t>FANVIT</w:t>
            </w:r>
            <w:r w:rsidRPr="00BC3F39">
              <w:rPr>
                <w:rFonts w:ascii="Tahoma" w:hAnsi="Tahoma" w:cs="Tahoma"/>
                <w:color w:val="000000" w:themeColor="text1"/>
                <w:sz w:val="22"/>
                <w:szCs w:val="22"/>
              </w:rPr>
              <w:t>”, el cual fue publicado en la Intranet el 10 de septiembre de 2014. Dicho procedimiento debe ser actualizado</w:t>
            </w:r>
            <w:r w:rsidR="00AE6917" w:rsidRPr="00BC3F39">
              <w:rPr>
                <w:rFonts w:ascii="Tahoma" w:hAnsi="Tahoma" w:cs="Tahoma"/>
                <w:color w:val="000000" w:themeColor="text1"/>
                <w:sz w:val="22"/>
                <w:szCs w:val="22"/>
              </w:rPr>
              <w:t xml:space="preserve"> considerando</w:t>
            </w:r>
            <w:r w:rsidR="00812212" w:rsidRPr="00BC3F39">
              <w:rPr>
                <w:rFonts w:ascii="Tahoma" w:hAnsi="Tahoma" w:cs="Tahoma"/>
                <w:color w:val="000000" w:themeColor="text1"/>
                <w:sz w:val="22"/>
                <w:szCs w:val="22"/>
              </w:rPr>
              <w:t xml:space="preserve"> </w:t>
            </w:r>
            <w:r w:rsidR="00CF6E35" w:rsidRPr="00BC3F39">
              <w:rPr>
                <w:rFonts w:ascii="Tahoma" w:hAnsi="Tahoma" w:cs="Tahoma"/>
                <w:color w:val="000000" w:themeColor="text1"/>
                <w:sz w:val="22"/>
                <w:szCs w:val="22"/>
              </w:rPr>
              <w:t xml:space="preserve">la presente </w:t>
            </w:r>
            <w:r w:rsidR="00E13D45" w:rsidRPr="00BC3F39">
              <w:rPr>
                <w:rFonts w:ascii="Tahoma" w:hAnsi="Tahoma" w:cs="Tahoma"/>
                <w:color w:val="000000" w:themeColor="text1"/>
                <w:sz w:val="22"/>
                <w:szCs w:val="22"/>
              </w:rPr>
              <w:t xml:space="preserve">Política de traspasos de la Tesorería </w:t>
            </w:r>
            <w:r w:rsidR="00CF6E35" w:rsidRPr="00BC3F39">
              <w:rPr>
                <w:rFonts w:ascii="Tahoma" w:hAnsi="Tahoma" w:cs="Tahoma"/>
                <w:color w:val="000000" w:themeColor="text1"/>
                <w:sz w:val="22"/>
                <w:szCs w:val="22"/>
              </w:rPr>
              <w:t xml:space="preserve">del Instituto </w:t>
            </w:r>
            <w:r w:rsidR="00E13D45" w:rsidRPr="00BC3F39">
              <w:rPr>
                <w:rFonts w:ascii="Tahoma" w:hAnsi="Tahoma" w:cs="Tahoma"/>
                <w:color w:val="000000" w:themeColor="text1"/>
                <w:sz w:val="22"/>
                <w:szCs w:val="22"/>
              </w:rPr>
              <w:t xml:space="preserve">al </w:t>
            </w:r>
            <w:r w:rsidR="00602FA1">
              <w:rPr>
                <w:rFonts w:ascii="Tahoma" w:hAnsi="Tahoma" w:cs="Tahoma"/>
                <w:color w:val="000000" w:themeColor="text1"/>
                <w:sz w:val="22"/>
                <w:szCs w:val="22"/>
              </w:rPr>
              <w:t>FANVIT</w:t>
            </w:r>
            <w:r w:rsidR="00E13D45" w:rsidRPr="00BC3F39">
              <w:rPr>
                <w:rFonts w:ascii="Tahoma" w:hAnsi="Tahoma" w:cs="Tahoma"/>
                <w:color w:val="000000" w:themeColor="text1"/>
                <w:sz w:val="22"/>
                <w:szCs w:val="22"/>
              </w:rPr>
              <w:t xml:space="preserve">, </w:t>
            </w:r>
            <w:r w:rsidR="00A53833" w:rsidRPr="00BC3F39">
              <w:rPr>
                <w:rFonts w:ascii="Tahoma" w:hAnsi="Tahoma" w:cs="Tahoma"/>
                <w:sz w:val="22"/>
                <w:szCs w:val="22"/>
              </w:rPr>
              <w:t xml:space="preserve">para determinar el monto y los </w:t>
            </w:r>
            <w:r w:rsidR="00CF6E35" w:rsidRPr="00BC3F39">
              <w:rPr>
                <w:rFonts w:ascii="Tahoma" w:hAnsi="Tahoma" w:cs="Tahoma"/>
                <w:sz w:val="22"/>
                <w:szCs w:val="22"/>
              </w:rPr>
              <w:t xml:space="preserve">periodos </w:t>
            </w:r>
            <w:r w:rsidR="00173CFE" w:rsidRPr="00BC3F39">
              <w:rPr>
                <w:rFonts w:ascii="Tahoma" w:hAnsi="Tahoma" w:cs="Tahoma"/>
                <w:sz w:val="22"/>
                <w:szCs w:val="22"/>
              </w:rPr>
              <w:t xml:space="preserve">que deberán observarse para </w:t>
            </w:r>
            <w:r w:rsidR="000422BE" w:rsidRPr="00BC3F39">
              <w:rPr>
                <w:rFonts w:ascii="Tahoma" w:hAnsi="Tahoma" w:cs="Tahoma"/>
                <w:sz w:val="22"/>
                <w:szCs w:val="22"/>
              </w:rPr>
              <w:t>la transferencia de</w:t>
            </w:r>
            <w:r w:rsidR="00A53833" w:rsidRPr="00BC3F39">
              <w:rPr>
                <w:rFonts w:ascii="Tahoma" w:hAnsi="Tahoma" w:cs="Tahoma"/>
                <w:sz w:val="22"/>
                <w:szCs w:val="22"/>
              </w:rPr>
              <w:t xml:space="preserve"> recursos líquidos</w:t>
            </w:r>
            <w:r w:rsidR="00E13D45" w:rsidRPr="00BC3F39">
              <w:rPr>
                <w:rFonts w:ascii="Tahoma" w:hAnsi="Tahoma" w:cs="Tahoma"/>
                <w:sz w:val="22"/>
                <w:szCs w:val="22"/>
              </w:rPr>
              <w:t>.</w:t>
            </w:r>
          </w:p>
        </w:tc>
      </w:tr>
    </w:tbl>
    <w:tbl>
      <w:tblPr>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8"/>
        <w:gridCol w:w="716"/>
        <w:gridCol w:w="7485"/>
        <w:gridCol w:w="125"/>
        <w:gridCol w:w="13"/>
        <w:gridCol w:w="19"/>
      </w:tblGrid>
      <w:tr w:rsidR="00C61858" w:rsidRPr="00BC3F39" w:rsidTr="00745E13">
        <w:trPr>
          <w:gridAfter w:val="1"/>
          <w:wAfter w:w="19" w:type="dxa"/>
        </w:trPr>
        <w:tc>
          <w:tcPr>
            <w:tcW w:w="2154" w:type="dxa"/>
            <w:gridSpan w:val="2"/>
            <w:tcBorders>
              <w:top w:val="single" w:sz="4" w:space="0" w:color="FFFFFF"/>
              <w:left w:val="single" w:sz="4" w:space="0" w:color="FFFFFF"/>
              <w:bottom w:val="single" w:sz="4" w:space="0" w:color="FFFFFF"/>
              <w:right w:val="single" w:sz="4" w:space="0" w:color="C0C0C0"/>
            </w:tcBorders>
          </w:tcPr>
          <w:p w:rsidR="00C61858" w:rsidRPr="00BC3F39" w:rsidRDefault="00C108F4" w:rsidP="0090304D">
            <w:pPr>
              <w:rPr>
                <w:rFonts w:ascii="Tahoma" w:hAnsi="Tahoma" w:cs="Tahoma"/>
                <w:sz w:val="22"/>
                <w:szCs w:val="22"/>
              </w:rPr>
            </w:pPr>
            <w:r w:rsidRPr="00BC3F39">
              <w:rPr>
                <w:rFonts w:ascii="Tahoma" w:hAnsi="Tahoma" w:cs="Tahoma"/>
                <w:b/>
                <w:sz w:val="22"/>
                <w:szCs w:val="22"/>
              </w:rPr>
              <w:t xml:space="preserve">II. </w:t>
            </w:r>
            <w:r w:rsidR="0090304D" w:rsidRPr="00BC3F39">
              <w:rPr>
                <w:rFonts w:ascii="Tahoma" w:hAnsi="Tahoma" w:cs="Tahoma"/>
                <w:b/>
                <w:sz w:val="22"/>
                <w:szCs w:val="22"/>
              </w:rPr>
              <w:t>Control de cambios:</w:t>
            </w:r>
          </w:p>
        </w:tc>
        <w:tc>
          <w:tcPr>
            <w:tcW w:w="7623" w:type="dxa"/>
            <w:gridSpan w:val="3"/>
            <w:tcBorders>
              <w:top w:val="single" w:sz="4" w:space="0" w:color="FFFFFF"/>
              <w:left w:val="single" w:sz="4" w:space="0" w:color="C0C0C0"/>
              <w:bottom w:val="single" w:sz="4" w:space="0" w:color="FFFFFF"/>
              <w:right w:val="single" w:sz="4" w:space="0" w:color="FFFFFF"/>
            </w:tcBorders>
          </w:tcPr>
          <w:p w:rsidR="00C61858" w:rsidRPr="00BC3F39" w:rsidRDefault="00890EC9" w:rsidP="00745E13">
            <w:pPr>
              <w:spacing w:after="160"/>
              <w:jc w:val="both"/>
              <w:rPr>
                <w:rFonts w:ascii="Tahoma" w:hAnsi="Tahoma" w:cs="Tahoma"/>
                <w:sz w:val="22"/>
                <w:szCs w:val="22"/>
              </w:rPr>
            </w:pPr>
            <w:r w:rsidRPr="00BC3F39">
              <w:rPr>
                <w:rFonts w:ascii="Tahoma" w:hAnsi="Tahoma" w:cs="Tahoma"/>
                <w:sz w:val="22"/>
                <w:szCs w:val="22"/>
              </w:rPr>
              <w:t>La autorización para</w:t>
            </w:r>
            <w:r w:rsidR="00C61858" w:rsidRPr="00BC3F39">
              <w:rPr>
                <w:rFonts w:ascii="Tahoma" w:hAnsi="Tahoma" w:cs="Tahoma"/>
                <w:sz w:val="22"/>
                <w:szCs w:val="22"/>
              </w:rPr>
              <w:t xml:space="preserve"> la reproducción parcial o total de este documento</w:t>
            </w:r>
            <w:r w:rsidRPr="00BC3F39">
              <w:rPr>
                <w:rFonts w:ascii="Tahoma" w:hAnsi="Tahoma" w:cs="Tahoma"/>
                <w:sz w:val="22"/>
                <w:szCs w:val="22"/>
              </w:rPr>
              <w:t>, así como las modificaciones,</w:t>
            </w:r>
            <w:r w:rsidR="00C61858" w:rsidRPr="00BC3F39">
              <w:rPr>
                <w:rFonts w:ascii="Tahoma" w:hAnsi="Tahoma" w:cs="Tahoma"/>
                <w:sz w:val="22"/>
                <w:szCs w:val="22"/>
              </w:rPr>
              <w:t xml:space="preserve"> es facultad exclusiva de la </w:t>
            </w:r>
            <w:r w:rsidRPr="00BC3F39">
              <w:rPr>
                <w:rFonts w:ascii="Tahoma" w:hAnsi="Tahoma" w:cs="Tahoma"/>
                <w:sz w:val="22"/>
                <w:szCs w:val="22"/>
              </w:rPr>
              <w:t xml:space="preserve">Gerencia </w:t>
            </w:r>
            <w:r w:rsidRPr="00BC3F39">
              <w:rPr>
                <w:rFonts w:ascii="Tahoma" w:eastAsia="Arial" w:hAnsi="Tahoma" w:cs="Tahoma"/>
                <w:color w:val="000000"/>
                <w:sz w:val="22"/>
                <w:szCs w:val="22"/>
              </w:rPr>
              <w:t xml:space="preserve">Sr. de Mercados Financieros y </w:t>
            </w:r>
            <w:r w:rsidR="00CF6E35" w:rsidRPr="00BC3F39">
              <w:rPr>
                <w:rFonts w:ascii="Tahoma" w:eastAsia="Arial" w:hAnsi="Tahoma" w:cs="Tahoma"/>
                <w:color w:val="000000"/>
                <w:sz w:val="22"/>
                <w:szCs w:val="22"/>
              </w:rPr>
              <w:t xml:space="preserve">Gerencia Sr. de </w:t>
            </w:r>
            <w:r w:rsidRPr="00BC3F39">
              <w:rPr>
                <w:rFonts w:ascii="Tahoma" w:eastAsia="Arial" w:hAnsi="Tahoma" w:cs="Tahoma"/>
                <w:color w:val="000000"/>
                <w:sz w:val="22"/>
                <w:szCs w:val="22"/>
              </w:rPr>
              <w:t xml:space="preserve">Gestión </w:t>
            </w:r>
            <w:r w:rsidR="00CF6E35" w:rsidRPr="00BC3F39">
              <w:rPr>
                <w:rFonts w:ascii="Tahoma" w:eastAsia="Arial" w:hAnsi="Tahoma" w:cs="Tahoma"/>
                <w:color w:val="000000"/>
                <w:sz w:val="22"/>
                <w:szCs w:val="22"/>
              </w:rPr>
              <w:t xml:space="preserve">Estratégica </w:t>
            </w:r>
            <w:r w:rsidRPr="00BC3F39">
              <w:rPr>
                <w:rFonts w:ascii="Tahoma" w:eastAsia="Arial" w:hAnsi="Tahoma" w:cs="Tahoma"/>
                <w:color w:val="000000"/>
                <w:sz w:val="22"/>
                <w:szCs w:val="22"/>
              </w:rPr>
              <w:t xml:space="preserve">del Balance. </w:t>
            </w:r>
            <w:r w:rsidR="00DD6296" w:rsidRPr="00BC3F39">
              <w:rPr>
                <w:rFonts w:ascii="Tahoma" w:hAnsi="Tahoma" w:cs="Tahoma"/>
                <w:sz w:val="22"/>
                <w:szCs w:val="22"/>
              </w:rPr>
              <w:t>C</w:t>
            </w:r>
            <w:r w:rsidR="00C61858" w:rsidRPr="00BC3F39">
              <w:rPr>
                <w:rFonts w:ascii="Tahoma" w:hAnsi="Tahoma" w:cs="Tahoma"/>
                <w:sz w:val="22"/>
                <w:szCs w:val="22"/>
              </w:rPr>
              <w:t xml:space="preserve">ualquier acción de </w:t>
            </w:r>
            <w:r w:rsidR="00D26529" w:rsidRPr="00BC3F39">
              <w:rPr>
                <w:rFonts w:ascii="Tahoma" w:hAnsi="Tahoma" w:cs="Tahoma"/>
                <w:sz w:val="22"/>
                <w:szCs w:val="22"/>
              </w:rPr>
              <w:t>cambio</w:t>
            </w:r>
            <w:r w:rsidR="00232DCB" w:rsidRPr="00BC3F39">
              <w:rPr>
                <w:rFonts w:ascii="Tahoma" w:hAnsi="Tahoma" w:cs="Tahoma"/>
                <w:sz w:val="22"/>
                <w:szCs w:val="22"/>
              </w:rPr>
              <w:t xml:space="preserve"> o</w:t>
            </w:r>
            <w:r w:rsidR="00250B3C" w:rsidRPr="00BC3F39">
              <w:rPr>
                <w:rFonts w:ascii="Tahoma" w:hAnsi="Tahoma" w:cs="Tahoma"/>
                <w:sz w:val="22"/>
                <w:szCs w:val="22"/>
              </w:rPr>
              <w:t xml:space="preserve"> </w:t>
            </w:r>
            <w:r w:rsidR="00B95AA2" w:rsidRPr="00BC3F39">
              <w:rPr>
                <w:rFonts w:ascii="Tahoma" w:hAnsi="Tahoma" w:cs="Tahoma"/>
                <w:sz w:val="22"/>
                <w:szCs w:val="22"/>
              </w:rPr>
              <w:t xml:space="preserve">alteración </w:t>
            </w:r>
            <w:r w:rsidR="00C61858" w:rsidRPr="00BC3F39">
              <w:rPr>
                <w:rFonts w:ascii="Tahoma" w:hAnsi="Tahoma" w:cs="Tahoma"/>
                <w:sz w:val="22"/>
                <w:szCs w:val="22"/>
              </w:rPr>
              <w:t xml:space="preserve">sin la aprobación </w:t>
            </w:r>
            <w:r w:rsidR="00B95AA2" w:rsidRPr="00BC3F39">
              <w:rPr>
                <w:rFonts w:ascii="Tahoma" w:hAnsi="Tahoma" w:cs="Tahoma"/>
                <w:sz w:val="22"/>
                <w:szCs w:val="22"/>
              </w:rPr>
              <w:t>correspondiente</w:t>
            </w:r>
            <w:r w:rsidR="00925035" w:rsidRPr="00BC3F39">
              <w:rPr>
                <w:rFonts w:ascii="Tahoma" w:hAnsi="Tahoma" w:cs="Tahoma"/>
                <w:sz w:val="22"/>
                <w:szCs w:val="22"/>
              </w:rPr>
              <w:t>,</w:t>
            </w:r>
            <w:r w:rsidR="00D26529" w:rsidRPr="00BC3F39">
              <w:rPr>
                <w:rFonts w:ascii="Tahoma" w:hAnsi="Tahoma" w:cs="Tahoma"/>
                <w:sz w:val="22"/>
                <w:szCs w:val="22"/>
              </w:rPr>
              <w:t xml:space="preserve"> </w:t>
            </w:r>
            <w:r w:rsidR="00C61858" w:rsidRPr="00BC3F39">
              <w:rPr>
                <w:rFonts w:ascii="Tahoma" w:hAnsi="Tahoma" w:cs="Tahoma"/>
                <w:sz w:val="22"/>
                <w:szCs w:val="22"/>
              </w:rPr>
              <w:t xml:space="preserve">será </w:t>
            </w:r>
            <w:r w:rsidR="00D26529" w:rsidRPr="00BC3F39">
              <w:rPr>
                <w:rFonts w:ascii="Tahoma" w:hAnsi="Tahoma" w:cs="Tahoma"/>
                <w:sz w:val="22"/>
                <w:szCs w:val="22"/>
              </w:rPr>
              <w:t xml:space="preserve">sancionada </w:t>
            </w:r>
            <w:r w:rsidR="00B95AA2" w:rsidRPr="00BC3F39">
              <w:rPr>
                <w:rFonts w:ascii="Tahoma" w:hAnsi="Tahoma" w:cs="Tahoma"/>
                <w:sz w:val="22"/>
                <w:szCs w:val="22"/>
              </w:rPr>
              <w:t xml:space="preserve">acorde al Código de Ética del </w:t>
            </w:r>
            <w:r w:rsidR="00031E9F" w:rsidRPr="00BC3F39">
              <w:rPr>
                <w:rFonts w:ascii="Tahoma" w:hAnsi="Tahoma" w:cs="Tahoma"/>
                <w:sz w:val="22"/>
                <w:szCs w:val="22"/>
              </w:rPr>
              <w:t>Instituto</w:t>
            </w:r>
            <w:r w:rsidR="00C61858" w:rsidRPr="00BC3F39">
              <w:rPr>
                <w:rFonts w:ascii="Tahoma" w:hAnsi="Tahoma" w:cs="Tahoma"/>
                <w:sz w:val="22"/>
                <w:szCs w:val="22"/>
              </w:rPr>
              <w:t>.</w:t>
            </w:r>
          </w:p>
        </w:tc>
      </w:tr>
      <w:tr w:rsidR="00B6569E" w:rsidRPr="00BC3F39" w:rsidTr="00745E13">
        <w:trPr>
          <w:gridAfter w:val="3"/>
          <w:wAfter w:w="157" w:type="dxa"/>
        </w:trPr>
        <w:tc>
          <w:tcPr>
            <w:tcW w:w="2154" w:type="dxa"/>
            <w:gridSpan w:val="2"/>
            <w:tcBorders>
              <w:top w:val="single" w:sz="4" w:space="0" w:color="FFFFFF"/>
              <w:left w:val="single" w:sz="4" w:space="0" w:color="FFFFFF"/>
              <w:bottom w:val="single" w:sz="4" w:space="0" w:color="FFFFFF"/>
              <w:right w:val="single" w:sz="4" w:space="0" w:color="C0C0C0"/>
            </w:tcBorders>
          </w:tcPr>
          <w:p w:rsidR="00B6569E" w:rsidRPr="00BC3F39" w:rsidRDefault="00C108F4" w:rsidP="00770523">
            <w:pPr>
              <w:jc w:val="both"/>
              <w:rPr>
                <w:rFonts w:ascii="Tahoma" w:hAnsi="Tahoma" w:cs="Tahoma"/>
                <w:b/>
                <w:sz w:val="22"/>
                <w:szCs w:val="22"/>
              </w:rPr>
            </w:pPr>
            <w:r w:rsidRPr="00BC3F39">
              <w:rPr>
                <w:rFonts w:ascii="Tahoma" w:hAnsi="Tahoma" w:cs="Tahoma"/>
                <w:b/>
                <w:sz w:val="22"/>
                <w:szCs w:val="22"/>
              </w:rPr>
              <w:t xml:space="preserve">III. </w:t>
            </w:r>
            <w:r w:rsidR="00B6569E" w:rsidRPr="00BC3F39">
              <w:rPr>
                <w:rFonts w:ascii="Tahoma" w:hAnsi="Tahoma" w:cs="Tahoma"/>
                <w:b/>
                <w:sz w:val="22"/>
                <w:szCs w:val="22"/>
              </w:rPr>
              <w:t>O</w:t>
            </w:r>
            <w:r w:rsidR="00A4757A" w:rsidRPr="00BC3F39">
              <w:rPr>
                <w:rFonts w:ascii="Tahoma" w:hAnsi="Tahoma" w:cs="Tahoma"/>
                <w:b/>
                <w:sz w:val="22"/>
                <w:szCs w:val="22"/>
              </w:rPr>
              <w:t>bjetivo</w:t>
            </w:r>
            <w:r w:rsidR="00B6569E" w:rsidRPr="00BC3F39">
              <w:rPr>
                <w:rFonts w:ascii="Tahoma" w:hAnsi="Tahoma" w:cs="Tahoma"/>
                <w:b/>
                <w:sz w:val="22"/>
                <w:szCs w:val="22"/>
              </w:rPr>
              <w:t>:</w:t>
            </w:r>
          </w:p>
        </w:tc>
        <w:tc>
          <w:tcPr>
            <w:tcW w:w="7485" w:type="dxa"/>
            <w:tcBorders>
              <w:top w:val="single" w:sz="4" w:space="0" w:color="FFFFFF"/>
              <w:left w:val="single" w:sz="4" w:space="0" w:color="C0C0C0"/>
              <w:bottom w:val="single" w:sz="4" w:space="0" w:color="FFFFFF"/>
              <w:right w:val="single" w:sz="4" w:space="0" w:color="FFFFFF"/>
            </w:tcBorders>
          </w:tcPr>
          <w:p w:rsidR="00C306ED" w:rsidRPr="00BC3F39" w:rsidRDefault="007E1CAC" w:rsidP="00745E13">
            <w:pPr>
              <w:spacing w:after="160"/>
              <w:ind w:left="74"/>
              <w:jc w:val="both"/>
              <w:rPr>
                <w:rFonts w:ascii="Tahoma" w:hAnsi="Tahoma" w:cs="Tahoma"/>
                <w:sz w:val="22"/>
                <w:szCs w:val="22"/>
              </w:rPr>
            </w:pPr>
            <w:r w:rsidRPr="00BC3F39">
              <w:rPr>
                <w:rFonts w:ascii="Tahoma" w:hAnsi="Tahoma" w:cs="Tahoma"/>
                <w:sz w:val="22"/>
                <w:szCs w:val="22"/>
              </w:rPr>
              <w:t>Establecer</w:t>
            </w:r>
            <w:r w:rsidR="003C3DF4" w:rsidRPr="00BC3F39">
              <w:rPr>
                <w:rFonts w:ascii="Tahoma" w:hAnsi="Tahoma" w:cs="Tahoma"/>
                <w:sz w:val="22"/>
                <w:szCs w:val="22"/>
              </w:rPr>
              <w:t xml:space="preserve"> </w:t>
            </w:r>
            <w:r w:rsidR="00C306ED" w:rsidRPr="00BC3F39">
              <w:rPr>
                <w:rFonts w:ascii="Tahoma" w:hAnsi="Tahoma" w:cs="Tahoma"/>
                <w:sz w:val="22"/>
                <w:szCs w:val="22"/>
              </w:rPr>
              <w:t xml:space="preserve">una </w:t>
            </w:r>
            <w:r w:rsidR="006F20E6" w:rsidRPr="00BC3F39">
              <w:rPr>
                <w:rFonts w:ascii="Tahoma" w:hAnsi="Tahoma" w:cs="Tahoma"/>
                <w:sz w:val="22"/>
                <w:szCs w:val="22"/>
              </w:rPr>
              <w:t>p</w:t>
            </w:r>
            <w:r w:rsidR="000422BE" w:rsidRPr="00BC3F39">
              <w:rPr>
                <w:rFonts w:ascii="Tahoma" w:hAnsi="Tahoma" w:cs="Tahoma"/>
                <w:sz w:val="22"/>
                <w:szCs w:val="22"/>
              </w:rPr>
              <w:t>olíti</w:t>
            </w:r>
            <w:r w:rsidR="006F20E6" w:rsidRPr="00BC3F39">
              <w:rPr>
                <w:rFonts w:ascii="Tahoma" w:hAnsi="Tahoma" w:cs="Tahoma"/>
                <w:sz w:val="22"/>
                <w:szCs w:val="22"/>
              </w:rPr>
              <w:t>ca</w:t>
            </w:r>
            <w:r w:rsidR="000B3C9A" w:rsidRPr="00BC3F39">
              <w:rPr>
                <w:rFonts w:ascii="Tahoma" w:hAnsi="Tahoma" w:cs="Tahoma"/>
                <w:sz w:val="22"/>
                <w:szCs w:val="22"/>
              </w:rPr>
              <w:t xml:space="preserve"> </w:t>
            </w:r>
            <w:r w:rsidR="00C306ED" w:rsidRPr="00BC3F39">
              <w:rPr>
                <w:rFonts w:ascii="Tahoma" w:hAnsi="Tahoma" w:cs="Tahoma"/>
                <w:sz w:val="22"/>
                <w:szCs w:val="22"/>
              </w:rPr>
              <w:t xml:space="preserve">que permita estandarizar la transferencia de recursos líquidos de la Tesorería al </w:t>
            </w:r>
            <w:r w:rsidR="00602FA1">
              <w:rPr>
                <w:rFonts w:ascii="Tahoma" w:hAnsi="Tahoma" w:cs="Tahoma"/>
                <w:sz w:val="22"/>
                <w:szCs w:val="22"/>
              </w:rPr>
              <w:t>FANVIT</w:t>
            </w:r>
            <w:r w:rsidR="00C306ED" w:rsidRPr="00BC3F39">
              <w:rPr>
                <w:rFonts w:ascii="Tahoma" w:hAnsi="Tahoma" w:cs="Tahoma"/>
                <w:sz w:val="22"/>
                <w:szCs w:val="22"/>
              </w:rPr>
              <w:t>, con lo cual se lograría optimizar la inversión de los mismos.</w:t>
            </w:r>
          </w:p>
        </w:tc>
      </w:tr>
      <w:tr w:rsidR="00884FDC" w:rsidRPr="00BC3F39" w:rsidTr="00745E13">
        <w:tc>
          <w:tcPr>
            <w:tcW w:w="2154" w:type="dxa"/>
            <w:gridSpan w:val="2"/>
            <w:tcBorders>
              <w:top w:val="single" w:sz="4" w:space="0" w:color="FFFFFF"/>
              <w:left w:val="single" w:sz="4" w:space="0" w:color="FFFFFF"/>
              <w:bottom w:val="single" w:sz="4" w:space="0" w:color="FFFFFF"/>
              <w:right w:val="single" w:sz="4" w:space="0" w:color="C0C0C0"/>
            </w:tcBorders>
          </w:tcPr>
          <w:p w:rsidR="00884FDC" w:rsidRPr="00BC3F39" w:rsidRDefault="00C108F4" w:rsidP="00745E13">
            <w:pPr>
              <w:spacing w:after="160"/>
              <w:jc w:val="both"/>
              <w:rPr>
                <w:rFonts w:ascii="Tahoma" w:hAnsi="Tahoma" w:cs="Tahoma"/>
                <w:sz w:val="22"/>
                <w:szCs w:val="22"/>
              </w:rPr>
            </w:pPr>
            <w:r w:rsidRPr="00BC3F39">
              <w:rPr>
                <w:rFonts w:ascii="Tahoma" w:hAnsi="Tahoma" w:cs="Tahoma"/>
                <w:b/>
                <w:sz w:val="22"/>
                <w:szCs w:val="22"/>
              </w:rPr>
              <w:t xml:space="preserve">IV. </w:t>
            </w:r>
            <w:r w:rsidR="00884FDC" w:rsidRPr="00BC3F39">
              <w:rPr>
                <w:rFonts w:ascii="Tahoma" w:hAnsi="Tahoma" w:cs="Tahoma"/>
                <w:b/>
                <w:sz w:val="22"/>
                <w:szCs w:val="22"/>
              </w:rPr>
              <w:t>Alcance:</w:t>
            </w:r>
          </w:p>
        </w:tc>
        <w:tc>
          <w:tcPr>
            <w:tcW w:w="7642" w:type="dxa"/>
            <w:gridSpan w:val="4"/>
            <w:tcBorders>
              <w:top w:val="single" w:sz="4" w:space="0" w:color="FFFFFF"/>
              <w:left w:val="single" w:sz="4" w:space="0" w:color="C0C0C0"/>
              <w:bottom w:val="single" w:sz="4" w:space="0" w:color="FFFFFF"/>
              <w:right w:val="single" w:sz="4" w:space="0" w:color="FFFFFF"/>
            </w:tcBorders>
          </w:tcPr>
          <w:p w:rsidR="00884FDC" w:rsidRPr="00BC3F39" w:rsidRDefault="004C0ACD" w:rsidP="00CC46D1">
            <w:pPr>
              <w:spacing w:after="160"/>
              <w:jc w:val="both"/>
              <w:rPr>
                <w:rFonts w:ascii="Tahoma" w:hAnsi="Tahoma" w:cs="Tahoma"/>
                <w:sz w:val="22"/>
                <w:szCs w:val="22"/>
              </w:rPr>
            </w:pPr>
            <w:r w:rsidRPr="00BC3F39">
              <w:rPr>
                <w:rFonts w:ascii="Tahoma" w:hAnsi="Tahoma" w:cs="Tahoma"/>
                <w:sz w:val="22"/>
                <w:szCs w:val="22"/>
              </w:rPr>
              <w:t xml:space="preserve">De aplicación general para </w:t>
            </w:r>
            <w:r w:rsidR="007A1A0C" w:rsidRPr="00BC3F39">
              <w:rPr>
                <w:rFonts w:ascii="Tahoma" w:hAnsi="Tahoma" w:cs="Tahoma"/>
                <w:sz w:val="22"/>
                <w:szCs w:val="22"/>
              </w:rPr>
              <w:t>la Subdirección General de Planeación y Fi</w:t>
            </w:r>
            <w:r w:rsidR="00BD7781" w:rsidRPr="00BC3F39">
              <w:rPr>
                <w:rFonts w:ascii="Tahoma" w:hAnsi="Tahoma" w:cs="Tahoma"/>
                <w:sz w:val="22"/>
                <w:szCs w:val="22"/>
              </w:rPr>
              <w:t>nanzas</w:t>
            </w:r>
            <w:r w:rsidR="004153F0" w:rsidRPr="00BC3F39">
              <w:rPr>
                <w:rFonts w:ascii="Tahoma" w:hAnsi="Tahoma" w:cs="Tahoma"/>
                <w:sz w:val="22"/>
                <w:szCs w:val="22"/>
              </w:rPr>
              <w:t>.</w:t>
            </w:r>
          </w:p>
        </w:tc>
      </w:tr>
      <w:tr w:rsidR="008833B0" w:rsidRPr="00BC3F39" w:rsidTr="00745E13">
        <w:tc>
          <w:tcPr>
            <w:tcW w:w="2154" w:type="dxa"/>
            <w:gridSpan w:val="2"/>
            <w:tcBorders>
              <w:top w:val="single" w:sz="4" w:space="0" w:color="FFFFFF"/>
              <w:left w:val="single" w:sz="4" w:space="0" w:color="FFFFFF"/>
              <w:bottom w:val="single" w:sz="4" w:space="0" w:color="FFFFFF"/>
              <w:right w:val="single" w:sz="4" w:space="0" w:color="C0C0C0"/>
            </w:tcBorders>
          </w:tcPr>
          <w:p w:rsidR="008833B0" w:rsidRPr="00BC3F39" w:rsidRDefault="00C108F4" w:rsidP="00BC3F39">
            <w:pPr>
              <w:rPr>
                <w:rFonts w:ascii="Tahoma" w:hAnsi="Tahoma" w:cs="Tahoma"/>
                <w:sz w:val="22"/>
                <w:szCs w:val="22"/>
              </w:rPr>
            </w:pPr>
            <w:r w:rsidRPr="00BC3F39">
              <w:rPr>
                <w:rFonts w:ascii="Tahoma" w:hAnsi="Tahoma" w:cs="Tahoma"/>
                <w:b/>
                <w:sz w:val="22"/>
                <w:szCs w:val="22"/>
              </w:rPr>
              <w:t>V.</w:t>
            </w:r>
            <w:r w:rsidR="00BC3F39" w:rsidRPr="00BC3F39">
              <w:rPr>
                <w:rFonts w:ascii="Tahoma" w:hAnsi="Tahoma" w:cs="Tahoma"/>
                <w:b/>
                <w:sz w:val="22"/>
                <w:szCs w:val="22"/>
              </w:rPr>
              <w:t xml:space="preserve"> </w:t>
            </w:r>
            <w:r w:rsidR="008833B0" w:rsidRPr="00BC3F39">
              <w:rPr>
                <w:rFonts w:ascii="Tahoma" w:hAnsi="Tahoma" w:cs="Tahoma"/>
                <w:b/>
                <w:sz w:val="22"/>
                <w:szCs w:val="22"/>
              </w:rPr>
              <w:t>Marco Regulatorio:</w:t>
            </w:r>
          </w:p>
        </w:tc>
        <w:tc>
          <w:tcPr>
            <w:tcW w:w="7642" w:type="dxa"/>
            <w:gridSpan w:val="4"/>
            <w:tcBorders>
              <w:top w:val="single" w:sz="4" w:space="0" w:color="FFFFFF"/>
              <w:left w:val="single" w:sz="4" w:space="0" w:color="C0C0C0"/>
              <w:bottom w:val="single" w:sz="4" w:space="0" w:color="FFFFFF"/>
              <w:right w:val="single" w:sz="4" w:space="0" w:color="FFFFFF"/>
            </w:tcBorders>
          </w:tcPr>
          <w:p w:rsidR="008833B0" w:rsidRPr="00BC3F39" w:rsidRDefault="008833B0" w:rsidP="00770523">
            <w:pPr>
              <w:pStyle w:val="Encabezado"/>
              <w:spacing w:after="80"/>
              <w:jc w:val="both"/>
              <w:rPr>
                <w:rFonts w:ascii="Tahoma" w:hAnsi="Tahoma" w:cs="Tahoma"/>
                <w:b/>
                <w:sz w:val="22"/>
                <w:szCs w:val="22"/>
              </w:rPr>
            </w:pPr>
            <w:r w:rsidRPr="00CC46D1">
              <w:rPr>
                <w:rFonts w:ascii="Tahoma" w:hAnsi="Tahoma" w:cs="Tahoma"/>
                <w:b/>
                <w:sz w:val="22"/>
                <w:szCs w:val="22"/>
              </w:rPr>
              <w:t>D</w:t>
            </w:r>
            <w:r w:rsidRPr="00BC3F39">
              <w:rPr>
                <w:rFonts w:ascii="Tahoma" w:hAnsi="Tahoma" w:cs="Tahoma"/>
                <w:b/>
                <w:sz w:val="22"/>
                <w:szCs w:val="22"/>
              </w:rPr>
              <w:t>isposiciones Internas:</w:t>
            </w:r>
          </w:p>
          <w:p w:rsidR="003712F7" w:rsidRPr="00BC3F39" w:rsidRDefault="008833B0" w:rsidP="00CC46D1">
            <w:pPr>
              <w:pStyle w:val="Encabezado"/>
              <w:numPr>
                <w:ilvl w:val="0"/>
                <w:numId w:val="1"/>
              </w:numPr>
              <w:spacing w:after="160"/>
              <w:jc w:val="both"/>
              <w:rPr>
                <w:rFonts w:ascii="Tahoma" w:hAnsi="Tahoma" w:cs="Tahoma"/>
                <w:sz w:val="22"/>
                <w:szCs w:val="22"/>
              </w:rPr>
            </w:pPr>
            <w:r w:rsidRPr="00BC3F39">
              <w:rPr>
                <w:rFonts w:ascii="Tahoma" w:hAnsi="Tahoma" w:cs="Tahoma"/>
                <w:sz w:val="22"/>
                <w:szCs w:val="22"/>
              </w:rPr>
              <w:t xml:space="preserve">Ley del </w:t>
            </w:r>
            <w:r w:rsidR="00602FA1">
              <w:rPr>
                <w:rFonts w:ascii="Tahoma" w:hAnsi="Tahoma" w:cs="Tahoma"/>
                <w:sz w:val="22"/>
                <w:szCs w:val="22"/>
              </w:rPr>
              <w:t>INFONAVIT</w:t>
            </w:r>
            <w:r w:rsidR="00E97225" w:rsidRPr="00BC3F39">
              <w:rPr>
                <w:rFonts w:ascii="Tahoma" w:hAnsi="Tahoma" w:cs="Tahoma"/>
                <w:sz w:val="22"/>
                <w:szCs w:val="22"/>
              </w:rPr>
              <w:t xml:space="preserve">, Artículo </w:t>
            </w:r>
            <w:r w:rsidR="000318F8" w:rsidRPr="00BC3F39">
              <w:rPr>
                <w:rFonts w:ascii="Tahoma" w:hAnsi="Tahoma" w:cs="Tahoma"/>
                <w:sz w:val="22"/>
                <w:szCs w:val="22"/>
              </w:rPr>
              <w:t>43</w:t>
            </w:r>
            <w:r w:rsidR="003712F7" w:rsidRPr="00BC3F39">
              <w:rPr>
                <w:rFonts w:ascii="Tahoma" w:hAnsi="Tahoma" w:cs="Tahoma"/>
                <w:sz w:val="22"/>
                <w:szCs w:val="22"/>
              </w:rPr>
              <w:t xml:space="preserve"> </w:t>
            </w:r>
          </w:p>
          <w:p w:rsidR="00F803A5" w:rsidRPr="00BC3F39" w:rsidRDefault="008833B0" w:rsidP="00CC46D1">
            <w:pPr>
              <w:pStyle w:val="Encabezado"/>
              <w:numPr>
                <w:ilvl w:val="0"/>
                <w:numId w:val="1"/>
              </w:numPr>
              <w:spacing w:after="160"/>
              <w:jc w:val="both"/>
              <w:rPr>
                <w:rFonts w:ascii="Tahoma" w:hAnsi="Tahoma" w:cs="Tahoma"/>
                <w:sz w:val="22"/>
                <w:szCs w:val="22"/>
              </w:rPr>
            </w:pPr>
            <w:r w:rsidRPr="00BC3F39">
              <w:rPr>
                <w:rFonts w:ascii="Tahoma" w:hAnsi="Tahoma" w:cs="Tahoma"/>
                <w:sz w:val="22"/>
                <w:szCs w:val="22"/>
              </w:rPr>
              <w:t xml:space="preserve">Estatuto Orgánico del </w:t>
            </w:r>
            <w:r w:rsidR="00602FA1">
              <w:rPr>
                <w:rFonts w:ascii="Tahoma" w:hAnsi="Tahoma" w:cs="Tahoma"/>
                <w:sz w:val="22"/>
                <w:szCs w:val="22"/>
              </w:rPr>
              <w:t>INFONAVIT</w:t>
            </w:r>
            <w:r w:rsidRPr="00BC3F39">
              <w:rPr>
                <w:rFonts w:ascii="Tahoma" w:hAnsi="Tahoma" w:cs="Tahoma"/>
                <w:sz w:val="22"/>
                <w:szCs w:val="22"/>
              </w:rPr>
              <w:t>.</w:t>
            </w:r>
            <w:r w:rsidR="00DC216B" w:rsidRPr="00BC3F39">
              <w:rPr>
                <w:rFonts w:ascii="Tahoma" w:hAnsi="Tahoma" w:cs="Tahoma"/>
                <w:sz w:val="22"/>
                <w:szCs w:val="22"/>
              </w:rPr>
              <w:t xml:space="preserve"> (</w:t>
            </w:r>
            <w:r w:rsidR="003712F7" w:rsidRPr="00BC3F39">
              <w:rPr>
                <w:rFonts w:ascii="Tahoma" w:hAnsi="Tahoma" w:cs="Tahoma"/>
                <w:sz w:val="22"/>
                <w:szCs w:val="22"/>
              </w:rPr>
              <w:t>Reformado</w:t>
            </w:r>
            <w:r w:rsidR="00DC216B" w:rsidRPr="00BC3F39">
              <w:rPr>
                <w:rFonts w:ascii="Tahoma" w:hAnsi="Tahoma" w:cs="Tahoma"/>
                <w:sz w:val="22"/>
                <w:szCs w:val="22"/>
              </w:rPr>
              <w:t xml:space="preserve"> el </w:t>
            </w:r>
            <w:r w:rsidR="003712F7" w:rsidRPr="00BC3F39">
              <w:rPr>
                <w:rFonts w:ascii="Tahoma" w:hAnsi="Tahoma" w:cs="Tahoma"/>
                <w:sz w:val="22"/>
                <w:szCs w:val="22"/>
              </w:rPr>
              <w:t>9 de jun</w:t>
            </w:r>
            <w:r w:rsidR="00DC216B" w:rsidRPr="00BC3F39">
              <w:rPr>
                <w:rFonts w:ascii="Tahoma" w:hAnsi="Tahoma" w:cs="Tahoma"/>
                <w:sz w:val="22"/>
                <w:szCs w:val="22"/>
              </w:rPr>
              <w:t>io de 2016</w:t>
            </w:r>
            <w:r w:rsidR="009327C6" w:rsidRPr="00BC3F39">
              <w:rPr>
                <w:rFonts w:ascii="Tahoma" w:hAnsi="Tahoma" w:cs="Tahoma"/>
                <w:sz w:val="22"/>
                <w:szCs w:val="22"/>
              </w:rPr>
              <w:t>)</w:t>
            </w:r>
          </w:p>
          <w:p w:rsidR="004153F0" w:rsidRPr="00BC3F39" w:rsidRDefault="004153F0" w:rsidP="00CC46D1">
            <w:pPr>
              <w:pStyle w:val="Encabezado"/>
              <w:spacing w:after="160"/>
              <w:ind w:left="720"/>
              <w:jc w:val="both"/>
              <w:rPr>
                <w:rFonts w:ascii="Tahoma" w:hAnsi="Tahoma" w:cs="Tahoma"/>
                <w:sz w:val="22"/>
                <w:szCs w:val="22"/>
              </w:rPr>
            </w:pPr>
            <w:r w:rsidRPr="00BC3F39">
              <w:rPr>
                <w:rFonts w:ascii="Tahoma" w:hAnsi="Tahoma" w:cs="Tahoma"/>
                <w:sz w:val="22"/>
                <w:szCs w:val="22"/>
              </w:rPr>
              <w:t>Capítulo IV</w:t>
            </w:r>
            <w:r w:rsidR="0071299D" w:rsidRPr="00BC3F39">
              <w:rPr>
                <w:rFonts w:ascii="Tahoma" w:hAnsi="Tahoma" w:cs="Tahoma"/>
                <w:sz w:val="22"/>
                <w:szCs w:val="22"/>
              </w:rPr>
              <w:t>, art. 27, 28</w:t>
            </w:r>
            <w:r w:rsidRPr="00BC3F39">
              <w:rPr>
                <w:rFonts w:ascii="Tahoma" w:hAnsi="Tahoma" w:cs="Tahoma"/>
                <w:sz w:val="22"/>
                <w:szCs w:val="22"/>
              </w:rPr>
              <w:t xml:space="preserve"> </w:t>
            </w:r>
          </w:p>
          <w:p w:rsidR="00507A7C" w:rsidRPr="00BC3F39" w:rsidRDefault="00352D2B" w:rsidP="00CC46D1">
            <w:pPr>
              <w:pStyle w:val="Encabezado"/>
              <w:numPr>
                <w:ilvl w:val="0"/>
                <w:numId w:val="1"/>
              </w:numPr>
              <w:spacing w:after="160"/>
              <w:jc w:val="both"/>
              <w:rPr>
                <w:rFonts w:ascii="Tahoma" w:hAnsi="Tahoma" w:cs="Tahoma"/>
                <w:sz w:val="22"/>
                <w:szCs w:val="22"/>
              </w:rPr>
            </w:pPr>
            <w:r w:rsidRPr="00BC3F39">
              <w:rPr>
                <w:rFonts w:ascii="Tahoma" w:hAnsi="Tahoma" w:cs="Tahoma"/>
                <w:sz w:val="22"/>
                <w:szCs w:val="22"/>
              </w:rPr>
              <w:t xml:space="preserve">Código de Ética del </w:t>
            </w:r>
            <w:r w:rsidR="00602FA1">
              <w:rPr>
                <w:rFonts w:ascii="Tahoma" w:hAnsi="Tahoma" w:cs="Tahoma"/>
                <w:sz w:val="22"/>
                <w:szCs w:val="22"/>
              </w:rPr>
              <w:t>INFONAVIT</w:t>
            </w:r>
          </w:p>
          <w:p w:rsidR="0016170C" w:rsidRPr="00BC3F39" w:rsidRDefault="002F15BE" w:rsidP="00CC46D1">
            <w:pPr>
              <w:pStyle w:val="Encabezado"/>
              <w:spacing w:after="160"/>
              <w:ind w:left="720"/>
              <w:jc w:val="both"/>
              <w:rPr>
                <w:rFonts w:ascii="Tahoma" w:hAnsi="Tahoma" w:cs="Tahoma"/>
                <w:sz w:val="22"/>
                <w:szCs w:val="22"/>
              </w:rPr>
            </w:pPr>
            <w:r w:rsidRPr="00BC3F39">
              <w:rPr>
                <w:rFonts w:ascii="Tahoma" w:hAnsi="Tahoma" w:cs="Tahoma"/>
                <w:sz w:val="22"/>
                <w:szCs w:val="22"/>
              </w:rPr>
              <w:t>La presente política se sustenta en el Código de ética con fundamento en lo siguiente</w:t>
            </w:r>
            <w:r w:rsidR="0016170C" w:rsidRPr="00BC3F39">
              <w:rPr>
                <w:rFonts w:ascii="Tahoma" w:hAnsi="Tahoma" w:cs="Tahoma"/>
                <w:sz w:val="22"/>
                <w:szCs w:val="22"/>
              </w:rPr>
              <w:t>:</w:t>
            </w:r>
          </w:p>
          <w:p w:rsidR="00F803A5" w:rsidRPr="00BC3F39" w:rsidRDefault="002F15BE" w:rsidP="00CC46D1">
            <w:pPr>
              <w:pStyle w:val="Encabezado"/>
              <w:spacing w:after="160"/>
              <w:ind w:left="720"/>
              <w:jc w:val="both"/>
              <w:rPr>
                <w:rFonts w:ascii="Tahoma" w:hAnsi="Tahoma" w:cs="Tahoma"/>
                <w:sz w:val="22"/>
                <w:szCs w:val="22"/>
              </w:rPr>
            </w:pPr>
            <w:r w:rsidRPr="00BC3F39">
              <w:rPr>
                <w:rFonts w:ascii="Tahoma" w:hAnsi="Tahoma" w:cs="Tahoma"/>
                <w:sz w:val="22"/>
                <w:szCs w:val="22"/>
              </w:rPr>
              <w:t>Los trabajadores, funcionarios y miembros de los Órganos del Instituto deben contribuir al logro de los objetivos institucionales y tener una clara vocación social para proporcionar el mejor servicio y atención a los derechohabientes y acreditados, así como mantener en las mejores condiciones financieras el Fondo Nacional de la Vivienda, ya que forma parte sustantiva del patrimonio de los trabajadores.</w:t>
            </w:r>
          </w:p>
        </w:tc>
      </w:tr>
      <w:tr w:rsidR="00B6569E" w:rsidRPr="00BC3F39" w:rsidTr="00745E13">
        <w:trPr>
          <w:gridAfter w:val="2"/>
          <w:wAfter w:w="32" w:type="dxa"/>
          <w:trHeight w:val="287"/>
        </w:trPr>
        <w:tc>
          <w:tcPr>
            <w:tcW w:w="2154" w:type="dxa"/>
            <w:gridSpan w:val="2"/>
            <w:tcBorders>
              <w:top w:val="single" w:sz="4" w:space="0" w:color="FFFFFF"/>
              <w:left w:val="single" w:sz="4" w:space="0" w:color="FFFFFF"/>
              <w:bottom w:val="single" w:sz="4" w:space="0" w:color="C0C0C0"/>
              <w:right w:val="nil"/>
            </w:tcBorders>
          </w:tcPr>
          <w:p w:rsidR="00B6569E" w:rsidRPr="00BC3F39" w:rsidRDefault="007A1A0C" w:rsidP="00E4744B">
            <w:pPr>
              <w:jc w:val="both"/>
              <w:rPr>
                <w:rFonts w:ascii="Tahoma" w:hAnsi="Tahoma" w:cs="Tahoma"/>
                <w:sz w:val="22"/>
                <w:szCs w:val="22"/>
              </w:rPr>
            </w:pPr>
            <w:r w:rsidRPr="00BC3F39">
              <w:rPr>
                <w:rFonts w:ascii="Tahoma" w:hAnsi="Tahoma" w:cs="Tahoma"/>
                <w:sz w:val="22"/>
                <w:szCs w:val="22"/>
              </w:rPr>
              <w:br w:type="page"/>
            </w:r>
            <w:r w:rsidR="00C108F4" w:rsidRPr="00BC3F39">
              <w:rPr>
                <w:rFonts w:ascii="Tahoma" w:hAnsi="Tahoma" w:cs="Tahoma"/>
                <w:b/>
                <w:sz w:val="22"/>
                <w:szCs w:val="22"/>
              </w:rPr>
              <w:t xml:space="preserve">VI. </w:t>
            </w:r>
            <w:r w:rsidR="002A6A3A" w:rsidRPr="00BC3F39">
              <w:rPr>
                <w:rFonts w:ascii="Tahoma" w:hAnsi="Tahoma" w:cs="Tahoma"/>
                <w:b/>
                <w:sz w:val="22"/>
                <w:szCs w:val="22"/>
              </w:rPr>
              <w:t>D</w:t>
            </w:r>
            <w:r w:rsidR="00A4757A" w:rsidRPr="00BC3F39">
              <w:rPr>
                <w:rFonts w:ascii="Tahoma" w:hAnsi="Tahoma" w:cs="Tahoma"/>
                <w:b/>
                <w:sz w:val="22"/>
                <w:szCs w:val="22"/>
              </w:rPr>
              <w:t>efiniciones</w:t>
            </w:r>
          </w:p>
        </w:tc>
        <w:tc>
          <w:tcPr>
            <w:tcW w:w="7610" w:type="dxa"/>
            <w:gridSpan w:val="2"/>
            <w:tcBorders>
              <w:top w:val="single" w:sz="4" w:space="0" w:color="FFFFFF"/>
              <w:left w:val="nil"/>
              <w:bottom w:val="single" w:sz="4" w:space="0" w:color="C0C0C0"/>
              <w:right w:val="single" w:sz="4" w:space="0" w:color="FFFFFF"/>
            </w:tcBorders>
          </w:tcPr>
          <w:p w:rsidR="00B6569E" w:rsidRPr="00BC3F39" w:rsidRDefault="00B6569E" w:rsidP="00E4744B">
            <w:pPr>
              <w:jc w:val="both"/>
              <w:rPr>
                <w:rFonts w:ascii="Tahoma" w:hAnsi="Tahoma" w:cs="Tahoma"/>
                <w:sz w:val="22"/>
                <w:szCs w:val="22"/>
              </w:rPr>
            </w:pPr>
          </w:p>
        </w:tc>
      </w:tr>
      <w:tr w:rsidR="006C26AB" w:rsidRPr="00BC3F39" w:rsidTr="00745E13">
        <w:trPr>
          <w:gridAfter w:val="2"/>
          <w:wAfter w:w="32" w:type="dxa"/>
          <w:trHeight w:val="1007"/>
        </w:trPr>
        <w:tc>
          <w:tcPr>
            <w:tcW w:w="2154" w:type="dxa"/>
            <w:gridSpan w:val="2"/>
            <w:tcBorders>
              <w:top w:val="single" w:sz="4" w:space="0" w:color="C0C0C0"/>
              <w:left w:val="single" w:sz="4" w:space="0" w:color="FFFFFF"/>
              <w:bottom w:val="single" w:sz="4" w:space="0" w:color="C0C0C0"/>
              <w:right w:val="single" w:sz="4" w:space="0" w:color="C0C0C0"/>
            </w:tcBorders>
            <w:vAlign w:val="center"/>
          </w:tcPr>
          <w:p w:rsidR="006C26AB" w:rsidRPr="00BC3F39" w:rsidRDefault="004C2EBE" w:rsidP="00E85A69">
            <w:pPr>
              <w:jc w:val="both"/>
              <w:rPr>
                <w:rFonts w:ascii="Tahoma" w:hAnsi="Tahoma" w:cs="Tahoma"/>
                <w:sz w:val="22"/>
                <w:szCs w:val="22"/>
              </w:rPr>
            </w:pPr>
            <w:r w:rsidRPr="00BC3F39">
              <w:rPr>
                <w:rFonts w:ascii="Tahoma" w:hAnsi="Tahoma" w:cs="Tahoma"/>
                <w:sz w:val="22"/>
                <w:szCs w:val="22"/>
              </w:rPr>
              <w:t>Tesorería</w:t>
            </w:r>
            <w:r w:rsidR="00251E33" w:rsidRPr="00BC3F39">
              <w:rPr>
                <w:rFonts w:ascii="Tahoma" w:hAnsi="Tahoma" w:cs="Tahoma"/>
                <w:sz w:val="22"/>
                <w:szCs w:val="22"/>
              </w:rPr>
              <w:t xml:space="preserve"> </w:t>
            </w:r>
            <w:r w:rsidR="0052470D" w:rsidRPr="00BC3F39">
              <w:rPr>
                <w:rFonts w:ascii="Tahoma" w:hAnsi="Tahoma" w:cs="Tahoma"/>
                <w:sz w:val="22"/>
                <w:szCs w:val="22"/>
              </w:rPr>
              <w:t>del Instituto</w:t>
            </w:r>
          </w:p>
        </w:tc>
        <w:tc>
          <w:tcPr>
            <w:tcW w:w="7610" w:type="dxa"/>
            <w:gridSpan w:val="2"/>
            <w:tcBorders>
              <w:top w:val="single" w:sz="4" w:space="0" w:color="C0C0C0"/>
              <w:left w:val="single" w:sz="4" w:space="0" w:color="C0C0C0"/>
              <w:bottom w:val="single" w:sz="4" w:space="0" w:color="C0C0C0"/>
              <w:right w:val="single" w:sz="4" w:space="0" w:color="FFFFFF"/>
            </w:tcBorders>
            <w:vAlign w:val="center"/>
          </w:tcPr>
          <w:p w:rsidR="00251E33" w:rsidRPr="00BC3F39" w:rsidRDefault="00FC17C2" w:rsidP="00251E33">
            <w:pPr>
              <w:jc w:val="both"/>
              <w:rPr>
                <w:rFonts w:ascii="Tahoma" w:hAnsi="Tahoma" w:cs="Tahoma"/>
                <w:sz w:val="22"/>
                <w:szCs w:val="22"/>
              </w:rPr>
            </w:pPr>
            <w:r w:rsidRPr="00BC3F39">
              <w:rPr>
                <w:rFonts w:ascii="Tahoma" w:hAnsi="Tahoma" w:cs="Tahoma"/>
                <w:sz w:val="22"/>
                <w:szCs w:val="22"/>
              </w:rPr>
              <w:t xml:space="preserve">La </w:t>
            </w:r>
            <w:r w:rsidR="00C73275" w:rsidRPr="00BC3F39">
              <w:rPr>
                <w:rFonts w:ascii="Tahoma" w:hAnsi="Tahoma" w:cs="Tahoma"/>
                <w:sz w:val="22"/>
                <w:szCs w:val="22"/>
              </w:rPr>
              <w:t>T</w:t>
            </w:r>
            <w:r w:rsidRPr="00BC3F39">
              <w:rPr>
                <w:rFonts w:ascii="Tahoma" w:hAnsi="Tahoma" w:cs="Tahoma"/>
                <w:sz w:val="22"/>
                <w:szCs w:val="22"/>
              </w:rPr>
              <w:t xml:space="preserve">esorería tiene </w:t>
            </w:r>
            <w:r w:rsidR="00634009" w:rsidRPr="00BC3F39">
              <w:rPr>
                <w:rFonts w:ascii="Tahoma" w:hAnsi="Tahoma" w:cs="Tahoma"/>
                <w:sz w:val="22"/>
                <w:szCs w:val="22"/>
              </w:rPr>
              <w:t xml:space="preserve">a su cargo </w:t>
            </w:r>
            <w:r w:rsidR="00251E33" w:rsidRPr="00BC3F39">
              <w:rPr>
                <w:rFonts w:ascii="Tahoma" w:hAnsi="Tahoma" w:cs="Tahoma"/>
                <w:sz w:val="22"/>
                <w:szCs w:val="22"/>
              </w:rPr>
              <w:t>la administración de los recursos líquidos del Instituto, cumpliendo con cuatro importantes funciones:</w:t>
            </w:r>
          </w:p>
          <w:p w:rsidR="00251E33" w:rsidRPr="00BC3F39" w:rsidRDefault="00251E33" w:rsidP="00251E33">
            <w:pPr>
              <w:pStyle w:val="Prrafodelista"/>
              <w:numPr>
                <w:ilvl w:val="1"/>
                <w:numId w:val="28"/>
              </w:numPr>
              <w:spacing w:after="0" w:line="240" w:lineRule="auto"/>
              <w:contextualSpacing w:val="0"/>
              <w:jc w:val="both"/>
              <w:rPr>
                <w:rFonts w:ascii="Tahoma" w:hAnsi="Tahoma" w:cs="Tahoma"/>
              </w:rPr>
            </w:pPr>
            <w:r w:rsidRPr="00BC3F39">
              <w:rPr>
                <w:rFonts w:ascii="Tahoma" w:hAnsi="Tahoma" w:cs="Tahoma"/>
              </w:rPr>
              <w:t>Captación eficiente de ingresos del Instituto</w:t>
            </w:r>
            <w:r w:rsidR="00CC46D1">
              <w:rPr>
                <w:rFonts w:ascii="Tahoma" w:hAnsi="Tahoma" w:cs="Tahoma"/>
              </w:rPr>
              <w:t>.</w:t>
            </w:r>
          </w:p>
          <w:p w:rsidR="00251E33" w:rsidRPr="00BC3F39" w:rsidRDefault="00251E33" w:rsidP="00251E33">
            <w:pPr>
              <w:pStyle w:val="Prrafodelista"/>
              <w:numPr>
                <w:ilvl w:val="1"/>
                <w:numId w:val="28"/>
              </w:numPr>
              <w:spacing w:after="0" w:line="240" w:lineRule="auto"/>
              <w:contextualSpacing w:val="0"/>
              <w:jc w:val="both"/>
              <w:rPr>
                <w:rFonts w:ascii="Tahoma" w:hAnsi="Tahoma" w:cs="Tahoma"/>
              </w:rPr>
            </w:pPr>
            <w:r w:rsidRPr="00BC3F39">
              <w:rPr>
                <w:rFonts w:ascii="Tahoma" w:hAnsi="Tahoma" w:cs="Tahoma"/>
              </w:rPr>
              <w:t>Cumplimiento de obligaciones de pago institucionales</w:t>
            </w:r>
            <w:r w:rsidR="00CC46D1">
              <w:rPr>
                <w:rFonts w:ascii="Tahoma" w:hAnsi="Tahoma" w:cs="Tahoma"/>
              </w:rPr>
              <w:t>.</w:t>
            </w:r>
          </w:p>
          <w:p w:rsidR="00251E33" w:rsidRPr="00BC3F39" w:rsidRDefault="00251E33" w:rsidP="00251E33">
            <w:pPr>
              <w:pStyle w:val="Prrafodelista"/>
              <w:numPr>
                <w:ilvl w:val="1"/>
                <w:numId w:val="28"/>
              </w:numPr>
              <w:spacing w:after="0" w:line="240" w:lineRule="auto"/>
              <w:contextualSpacing w:val="0"/>
              <w:jc w:val="both"/>
              <w:rPr>
                <w:rFonts w:ascii="Tahoma" w:hAnsi="Tahoma" w:cs="Tahoma"/>
              </w:rPr>
            </w:pPr>
            <w:r w:rsidRPr="00BC3F39">
              <w:rPr>
                <w:rFonts w:ascii="Tahoma" w:hAnsi="Tahoma" w:cs="Tahoma"/>
              </w:rPr>
              <w:t>Inversión temporal de recursos líquidos a corto plazo</w:t>
            </w:r>
            <w:r w:rsidR="00CC46D1">
              <w:rPr>
                <w:rFonts w:ascii="Tahoma" w:hAnsi="Tahoma" w:cs="Tahoma"/>
              </w:rPr>
              <w:t>.</w:t>
            </w:r>
          </w:p>
          <w:p w:rsidR="006C26AB" w:rsidRPr="00745E13" w:rsidRDefault="00251E33" w:rsidP="00CC46D1">
            <w:pPr>
              <w:pStyle w:val="Prrafodelista"/>
              <w:numPr>
                <w:ilvl w:val="1"/>
                <w:numId w:val="28"/>
              </w:numPr>
              <w:spacing w:after="160" w:line="240" w:lineRule="auto"/>
              <w:ind w:left="1434" w:hanging="357"/>
              <w:contextualSpacing w:val="0"/>
              <w:jc w:val="both"/>
              <w:rPr>
                <w:rFonts w:ascii="Tahoma" w:hAnsi="Tahoma" w:cs="Tahoma"/>
              </w:rPr>
            </w:pPr>
            <w:r w:rsidRPr="00BC3F39">
              <w:rPr>
                <w:rFonts w:ascii="Tahoma" w:hAnsi="Tahoma" w:cs="Tahoma"/>
              </w:rPr>
              <w:t xml:space="preserve">Análisis de flujo de efectivo y traspasos al </w:t>
            </w:r>
            <w:r w:rsidR="00602FA1">
              <w:rPr>
                <w:rFonts w:ascii="Tahoma" w:hAnsi="Tahoma" w:cs="Tahoma"/>
              </w:rPr>
              <w:t>FANVIT</w:t>
            </w:r>
            <w:r w:rsidR="00CC46D1">
              <w:rPr>
                <w:rFonts w:ascii="Tahoma" w:hAnsi="Tahoma" w:cs="Tahoma"/>
              </w:rPr>
              <w:t>.</w:t>
            </w:r>
          </w:p>
        </w:tc>
      </w:tr>
      <w:tr w:rsidR="004C2EBE" w:rsidRPr="00BC3F39" w:rsidTr="00745E13">
        <w:trPr>
          <w:gridAfter w:val="2"/>
          <w:wAfter w:w="32" w:type="dxa"/>
          <w:trHeight w:val="1007"/>
        </w:trPr>
        <w:tc>
          <w:tcPr>
            <w:tcW w:w="2154" w:type="dxa"/>
            <w:gridSpan w:val="2"/>
            <w:tcBorders>
              <w:top w:val="single" w:sz="4" w:space="0" w:color="C0C0C0"/>
              <w:left w:val="single" w:sz="4" w:space="0" w:color="FFFFFF"/>
              <w:bottom w:val="single" w:sz="4" w:space="0" w:color="C0C0C0"/>
              <w:right w:val="single" w:sz="4" w:space="0" w:color="C0C0C0"/>
            </w:tcBorders>
            <w:vAlign w:val="center"/>
          </w:tcPr>
          <w:p w:rsidR="004C2EBE" w:rsidRPr="00BC3F39" w:rsidRDefault="00602FA1" w:rsidP="00A862E7">
            <w:pPr>
              <w:jc w:val="both"/>
              <w:rPr>
                <w:rFonts w:ascii="Tahoma" w:hAnsi="Tahoma" w:cs="Tahoma"/>
                <w:sz w:val="22"/>
                <w:szCs w:val="22"/>
              </w:rPr>
            </w:pPr>
            <w:r>
              <w:rPr>
                <w:rFonts w:ascii="Tahoma" w:hAnsi="Tahoma" w:cs="Tahoma"/>
                <w:sz w:val="22"/>
                <w:szCs w:val="22"/>
              </w:rPr>
              <w:t>FANVIT</w:t>
            </w:r>
          </w:p>
        </w:tc>
        <w:tc>
          <w:tcPr>
            <w:tcW w:w="7610" w:type="dxa"/>
            <w:gridSpan w:val="2"/>
            <w:tcBorders>
              <w:top w:val="single" w:sz="4" w:space="0" w:color="C0C0C0"/>
              <w:left w:val="single" w:sz="4" w:space="0" w:color="C0C0C0"/>
              <w:bottom w:val="single" w:sz="4" w:space="0" w:color="C0C0C0"/>
              <w:right w:val="single" w:sz="4" w:space="0" w:color="FFFFFF"/>
            </w:tcBorders>
            <w:vAlign w:val="center"/>
          </w:tcPr>
          <w:p w:rsidR="004C2EBE" w:rsidRPr="00BC3F39" w:rsidRDefault="004C2EBE" w:rsidP="00CC46D1">
            <w:pPr>
              <w:spacing w:after="160"/>
              <w:jc w:val="both"/>
              <w:rPr>
                <w:rFonts w:ascii="Tahoma" w:hAnsi="Tahoma" w:cs="Tahoma"/>
                <w:sz w:val="22"/>
                <w:szCs w:val="22"/>
              </w:rPr>
            </w:pPr>
            <w:r w:rsidRPr="00BC3F39">
              <w:rPr>
                <w:rFonts w:ascii="Tahoma" w:hAnsi="Tahoma" w:cs="Tahoma"/>
                <w:sz w:val="22"/>
                <w:szCs w:val="22"/>
              </w:rPr>
              <w:t xml:space="preserve">Fondo de Apoyo a las Necesidades de Vivienda de los Trabajadores. Este fondo corresponde a un régimen de inversión para los </w:t>
            </w:r>
            <w:r w:rsidR="00322810" w:rsidRPr="00BC3F39">
              <w:rPr>
                <w:rFonts w:ascii="Tahoma" w:hAnsi="Tahoma" w:cs="Tahoma"/>
                <w:sz w:val="22"/>
                <w:szCs w:val="22"/>
              </w:rPr>
              <w:t>recursos líquidos</w:t>
            </w:r>
            <w:r w:rsidRPr="00BC3F39">
              <w:rPr>
                <w:rFonts w:ascii="Tahoma" w:hAnsi="Tahoma" w:cs="Tahoma"/>
                <w:sz w:val="22"/>
                <w:szCs w:val="22"/>
              </w:rPr>
              <w:t xml:space="preserve"> distintos a </w:t>
            </w:r>
            <w:r w:rsidR="00322810" w:rsidRPr="00BC3F39">
              <w:rPr>
                <w:rFonts w:ascii="Tahoma" w:hAnsi="Tahoma" w:cs="Tahoma"/>
                <w:sz w:val="22"/>
                <w:szCs w:val="22"/>
              </w:rPr>
              <w:t xml:space="preserve">los administrados por la </w:t>
            </w:r>
            <w:r w:rsidR="00A1622A" w:rsidRPr="00BC3F39">
              <w:rPr>
                <w:rFonts w:ascii="Tahoma" w:hAnsi="Tahoma" w:cs="Tahoma"/>
                <w:sz w:val="22"/>
                <w:szCs w:val="22"/>
              </w:rPr>
              <w:t>T</w:t>
            </w:r>
            <w:r w:rsidRPr="00BC3F39">
              <w:rPr>
                <w:rFonts w:ascii="Tahoma" w:hAnsi="Tahoma" w:cs="Tahoma"/>
                <w:sz w:val="22"/>
                <w:szCs w:val="22"/>
              </w:rPr>
              <w:t xml:space="preserve">esorería del </w:t>
            </w:r>
            <w:r w:rsidR="00322810" w:rsidRPr="00BC3F39">
              <w:rPr>
                <w:rFonts w:ascii="Tahoma" w:hAnsi="Tahoma" w:cs="Tahoma"/>
                <w:sz w:val="22"/>
                <w:szCs w:val="22"/>
              </w:rPr>
              <w:t xml:space="preserve">Instituto </w:t>
            </w:r>
            <w:r w:rsidRPr="00BC3F39">
              <w:rPr>
                <w:rFonts w:ascii="Tahoma" w:hAnsi="Tahoma" w:cs="Tahoma"/>
                <w:sz w:val="22"/>
                <w:szCs w:val="22"/>
              </w:rPr>
              <w:t>y opera con un horizonte de inversión de largo plazo.</w:t>
            </w:r>
          </w:p>
        </w:tc>
      </w:tr>
      <w:tr w:rsidR="004C2EBE" w:rsidRPr="00BC3F39" w:rsidTr="00745E13">
        <w:trPr>
          <w:gridAfter w:val="2"/>
          <w:wAfter w:w="32" w:type="dxa"/>
          <w:trHeight w:hRule="exact" w:val="1314"/>
        </w:trPr>
        <w:tc>
          <w:tcPr>
            <w:tcW w:w="2154" w:type="dxa"/>
            <w:gridSpan w:val="2"/>
            <w:tcBorders>
              <w:top w:val="single" w:sz="4" w:space="0" w:color="C0C0C0"/>
              <w:left w:val="single" w:sz="4" w:space="0" w:color="FFFFFF"/>
              <w:bottom w:val="single" w:sz="4" w:space="0" w:color="C0C0C0"/>
              <w:right w:val="single" w:sz="4" w:space="0" w:color="C0C0C0"/>
            </w:tcBorders>
            <w:vAlign w:val="center"/>
          </w:tcPr>
          <w:p w:rsidR="004C2EBE" w:rsidRPr="00BC3F39" w:rsidRDefault="004C2EBE" w:rsidP="00770523">
            <w:pPr>
              <w:jc w:val="both"/>
              <w:rPr>
                <w:rFonts w:ascii="Tahoma" w:hAnsi="Tahoma" w:cs="Tahoma"/>
                <w:sz w:val="22"/>
                <w:szCs w:val="22"/>
              </w:rPr>
            </w:pPr>
            <w:r w:rsidRPr="00BC3F39">
              <w:rPr>
                <w:rFonts w:ascii="Tahoma" w:hAnsi="Tahoma" w:cs="Tahoma"/>
                <w:sz w:val="22"/>
                <w:szCs w:val="22"/>
              </w:rPr>
              <w:lastRenderedPageBreak/>
              <w:t>UMA</w:t>
            </w:r>
          </w:p>
        </w:tc>
        <w:tc>
          <w:tcPr>
            <w:tcW w:w="7610" w:type="dxa"/>
            <w:gridSpan w:val="2"/>
            <w:tcBorders>
              <w:top w:val="single" w:sz="4" w:space="0" w:color="C0C0C0"/>
              <w:left w:val="single" w:sz="4" w:space="0" w:color="C0C0C0"/>
              <w:bottom w:val="single" w:sz="4" w:space="0" w:color="C0C0C0"/>
              <w:right w:val="single" w:sz="4" w:space="0" w:color="FFFFFF"/>
            </w:tcBorders>
            <w:vAlign w:val="center"/>
          </w:tcPr>
          <w:p w:rsidR="004C2EBE" w:rsidRPr="00BC3F39" w:rsidRDefault="007F2272" w:rsidP="00CC46D1">
            <w:pPr>
              <w:spacing w:after="160"/>
              <w:jc w:val="both"/>
              <w:rPr>
                <w:rFonts w:ascii="Tahoma" w:hAnsi="Tahoma" w:cs="Tahoma"/>
                <w:sz w:val="22"/>
                <w:szCs w:val="22"/>
                <w:highlight w:val="yellow"/>
              </w:rPr>
            </w:pPr>
            <w:r w:rsidRPr="00BC3F39">
              <w:rPr>
                <w:rFonts w:ascii="Tahoma" w:hAnsi="Tahoma" w:cs="Tahoma"/>
                <w:sz w:val="22"/>
                <w:szCs w:val="22"/>
              </w:rPr>
              <w:t>La Unidad de Medida y Actualización (UMA) es la referencia económica en pesos para determinar la cuantía del pago de las obligaciones y supuestos previstos en las leyes federales, de las entidades federativas y del Distrito Federal, así como en las disposiciones jurídicas que emanen de todas las anteriores.</w:t>
            </w:r>
          </w:p>
        </w:tc>
      </w:tr>
      <w:tr w:rsidR="004C2EBE" w:rsidRPr="00BC3F39" w:rsidTr="00745E13">
        <w:trPr>
          <w:gridAfter w:val="2"/>
          <w:wAfter w:w="32" w:type="dxa"/>
          <w:trHeight w:hRule="exact" w:val="653"/>
        </w:trPr>
        <w:tc>
          <w:tcPr>
            <w:tcW w:w="2154" w:type="dxa"/>
            <w:gridSpan w:val="2"/>
            <w:tcBorders>
              <w:top w:val="single" w:sz="4" w:space="0" w:color="C0C0C0"/>
              <w:left w:val="nil"/>
              <w:bottom w:val="single" w:sz="4" w:space="0" w:color="C0C0C0"/>
              <w:right w:val="nil"/>
            </w:tcBorders>
            <w:vAlign w:val="center"/>
          </w:tcPr>
          <w:p w:rsidR="004C2EBE" w:rsidRPr="00BC3F39" w:rsidRDefault="004C2EBE" w:rsidP="00770523">
            <w:pPr>
              <w:jc w:val="both"/>
              <w:rPr>
                <w:rFonts w:ascii="Tahoma" w:hAnsi="Tahoma" w:cs="Tahoma"/>
                <w:sz w:val="22"/>
                <w:szCs w:val="22"/>
              </w:rPr>
            </w:pPr>
          </w:p>
        </w:tc>
        <w:tc>
          <w:tcPr>
            <w:tcW w:w="7610" w:type="dxa"/>
            <w:gridSpan w:val="2"/>
            <w:tcBorders>
              <w:top w:val="single" w:sz="4" w:space="0" w:color="C0C0C0"/>
              <w:left w:val="nil"/>
              <w:bottom w:val="single" w:sz="4" w:space="0" w:color="C0C0C0"/>
              <w:right w:val="nil"/>
            </w:tcBorders>
            <w:vAlign w:val="center"/>
          </w:tcPr>
          <w:p w:rsidR="004C2EBE" w:rsidRPr="00BC3F39" w:rsidRDefault="004C2EBE" w:rsidP="00770523">
            <w:pPr>
              <w:autoSpaceDE w:val="0"/>
              <w:autoSpaceDN w:val="0"/>
              <w:adjustRightInd w:val="0"/>
              <w:jc w:val="both"/>
              <w:rPr>
                <w:rFonts w:ascii="Tahoma" w:hAnsi="Tahoma" w:cs="Tahoma"/>
                <w:sz w:val="22"/>
                <w:szCs w:val="22"/>
                <w:highlight w:val="yellow"/>
              </w:rPr>
            </w:pPr>
          </w:p>
        </w:tc>
      </w:tr>
      <w:tr w:rsidR="004C2EBE" w:rsidRPr="00BC3F39" w:rsidTr="00745E13">
        <w:trPr>
          <w:gridAfter w:val="2"/>
          <w:wAfter w:w="32" w:type="dxa"/>
          <w:trHeight w:hRule="exact" w:val="5662"/>
        </w:trPr>
        <w:tc>
          <w:tcPr>
            <w:tcW w:w="2154" w:type="dxa"/>
            <w:gridSpan w:val="2"/>
            <w:tcBorders>
              <w:top w:val="single" w:sz="4" w:space="0" w:color="C0C0C0"/>
              <w:left w:val="single" w:sz="4" w:space="0" w:color="FFFFFF"/>
              <w:bottom w:val="single" w:sz="4" w:space="0" w:color="C0C0C0"/>
              <w:right w:val="single" w:sz="4" w:space="0" w:color="C0C0C0"/>
            </w:tcBorders>
          </w:tcPr>
          <w:p w:rsidR="003F6153" w:rsidRPr="00BC3F39" w:rsidRDefault="00C108F4" w:rsidP="003F6153">
            <w:pPr>
              <w:rPr>
                <w:rFonts w:ascii="Tahoma" w:hAnsi="Tahoma" w:cs="Tahoma"/>
                <w:b/>
                <w:sz w:val="22"/>
                <w:szCs w:val="22"/>
              </w:rPr>
            </w:pPr>
            <w:r w:rsidRPr="00BC3F39">
              <w:rPr>
                <w:rFonts w:ascii="Tahoma" w:hAnsi="Tahoma" w:cs="Tahoma"/>
                <w:b/>
                <w:sz w:val="22"/>
                <w:szCs w:val="22"/>
              </w:rPr>
              <w:t>VII.</w:t>
            </w:r>
            <w:r w:rsidR="003F6153" w:rsidRPr="00BC3F39">
              <w:rPr>
                <w:rFonts w:ascii="Tahoma" w:hAnsi="Tahoma" w:cs="Tahoma"/>
                <w:b/>
                <w:sz w:val="22"/>
                <w:szCs w:val="22"/>
              </w:rPr>
              <w:t>Antecedentes para la determinación de la política</w:t>
            </w:r>
          </w:p>
          <w:p w:rsidR="004C2EBE" w:rsidRPr="00BC3F39" w:rsidRDefault="004C2EBE" w:rsidP="003F6153">
            <w:pPr>
              <w:rPr>
                <w:rFonts w:ascii="Tahoma" w:hAnsi="Tahoma" w:cs="Tahoma"/>
                <w:sz w:val="22"/>
                <w:szCs w:val="22"/>
              </w:rPr>
            </w:pPr>
          </w:p>
        </w:tc>
        <w:tc>
          <w:tcPr>
            <w:tcW w:w="7610" w:type="dxa"/>
            <w:gridSpan w:val="2"/>
            <w:tcBorders>
              <w:top w:val="single" w:sz="4" w:space="0" w:color="C0C0C0"/>
              <w:left w:val="single" w:sz="4" w:space="0" w:color="C0C0C0"/>
              <w:bottom w:val="single" w:sz="4" w:space="0" w:color="C0C0C0"/>
              <w:right w:val="single" w:sz="4" w:space="0" w:color="FFFFFF"/>
            </w:tcBorders>
          </w:tcPr>
          <w:p w:rsidR="00C747C9" w:rsidRPr="00BC3F39" w:rsidRDefault="003F6153" w:rsidP="00CC46D1">
            <w:pPr>
              <w:spacing w:after="160"/>
              <w:jc w:val="both"/>
              <w:rPr>
                <w:rFonts w:ascii="Tahoma" w:hAnsi="Tahoma" w:cs="Tahoma"/>
                <w:sz w:val="22"/>
                <w:szCs w:val="22"/>
              </w:rPr>
            </w:pPr>
            <w:r w:rsidRPr="00BC3F39">
              <w:rPr>
                <w:rFonts w:ascii="Tahoma" w:hAnsi="Tahoma" w:cs="Tahoma"/>
                <w:sz w:val="22"/>
                <w:szCs w:val="22"/>
              </w:rPr>
              <w:t>El Instituto</w:t>
            </w:r>
            <w:r w:rsidR="0031780A" w:rsidRPr="00BC3F39">
              <w:rPr>
                <w:rFonts w:ascii="Tahoma" w:hAnsi="Tahoma" w:cs="Tahoma"/>
                <w:sz w:val="22"/>
                <w:szCs w:val="22"/>
              </w:rPr>
              <w:t>,</w:t>
            </w:r>
            <w:r w:rsidRPr="00BC3F39">
              <w:rPr>
                <w:rFonts w:ascii="Tahoma" w:hAnsi="Tahoma" w:cs="Tahoma"/>
                <w:sz w:val="22"/>
                <w:szCs w:val="22"/>
              </w:rPr>
              <w:t xml:space="preserve"> por medio de la Tesorería realiza </w:t>
            </w:r>
            <w:r w:rsidR="00744779" w:rsidRPr="00BC3F39">
              <w:rPr>
                <w:rFonts w:ascii="Tahoma" w:hAnsi="Tahoma" w:cs="Tahoma"/>
                <w:sz w:val="22"/>
                <w:szCs w:val="22"/>
              </w:rPr>
              <w:t xml:space="preserve">inversiones </w:t>
            </w:r>
            <w:r w:rsidR="00DC08FF" w:rsidRPr="00BC3F39">
              <w:rPr>
                <w:rFonts w:ascii="Tahoma" w:hAnsi="Tahoma" w:cs="Tahoma"/>
                <w:sz w:val="22"/>
                <w:szCs w:val="22"/>
              </w:rPr>
              <w:t xml:space="preserve">con un horizonte de inversión </w:t>
            </w:r>
            <w:r w:rsidR="00C747C9" w:rsidRPr="00BC3F39">
              <w:rPr>
                <w:rFonts w:ascii="Tahoma" w:hAnsi="Tahoma" w:cs="Tahoma"/>
                <w:sz w:val="22"/>
                <w:szCs w:val="22"/>
              </w:rPr>
              <w:t xml:space="preserve">de corto plazo </w:t>
            </w:r>
            <w:r w:rsidR="00BF7280" w:rsidRPr="00BC3F39">
              <w:rPr>
                <w:rFonts w:ascii="Tahoma" w:hAnsi="Tahoma" w:cs="Tahoma"/>
                <w:sz w:val="22"/>
                <w:szCs w:val="22"/>
              </w:rPr>
              <w:t>(</w:t>
            </w:r>
            <w:r w:rsidR="00C747C9" w:rsidRPr="00BC3F39">
              <w:rPr>
                <w:rFonts w:ascii="Tahoma" w:hAnsi="Tahoma" w:cs="Tahoma"/>
                <w:sz w:val="22"/>
                <w:szCs w:val="22"/>
              </w:rPr>
              <w:t xml:space="preserve">en particular </w:t>
            </w:r>
            <w:r w:rsidR="00744779" w:rsidRPr="00BC3F39">
              <w:rPr>
                <w:rFonts w:ascii="Tahoma" w:hAnsi="Tahoma" w:cs="Tahoma"/>
                <w:sz w:val="22"/>
                <w:szCs w:val="22"/>
              </w:rPr>
              <w:t xml:space="preserve">en </w:t>
            </w:r>
            <w:r w:rsidR="0026493B" w:rsidRPr="00BC3F39">
              <w:rPr>
                <w:rFonts w:ascii="Tahoma" w:hAnsi="Tahoma" w:cs="Tahoma"/>
                <w:sz w:val="22"/>
                <w:szCs w:val="22"/>
              </w:rPr>
              <w:t>reportos</w:t>
            </w:r>
            <w:r w:rsidR="00BF7280" w:rsidRPr="00BC3F39">
              <w:rPr>
                <w:rFonts w:ascii="Tahoma" w:hAnsi="Tahoma" w:cs="Tahoma"/>
                <w:sz w:val="22"/>
                <w:szCs w:val="22"/>
              </w:rPr>
              <w:t>)</w:t>
            </w:r>
            <w:r w:rsidR="00280006" w:rsidRPr="00BC3F39">
              <w:rPr>
                <w:rFonts w:ascii="Tahoma" w:hAnsi="Tahoma" w:cs="Tahoma"/>
                <w:sz w:val="22"/>
                <w:szCs w:val="22"/>
              </w:rPr>
              <w:t>,</w:t>
            </w:r>
            <w:r w:rsidR="00BF7280" w:rsidRPr="00BC3F39">
              <w:rPr>
                <w:rFonts w:ascii="Tahoma" w:hAnsi="Tahoma" w:cs="Tahoma"/>
                <w:sz w:val="22"/>
                <w:szCs w:val="22"/>
              </w:rPr>
              <w:t xml:space="preserve"> acotado por su normativa y por las necesidades de su propia operación</w:t>
            </w:r>
            <w:r w:rsidRPr="00BC3F39">
              <w:rPr>
                <w:rFonts w:ascii="Tahoma" w:hAnsi="Tahoma" w:cs="Tahoma"/>
                <w:sz w:val="22"/>
                <w:szCs w:val="22"/>
              </w:rPr>
              <w:t xml:space="preserve">. Sin embargo, </w:t>
            </w:r>
            <w:r w:rsidR="00C747C9" w:rsidRPr="00BC3F39">
              <w:rPr>
                <w:rFonts w:ascii="Tahoma" w:hAnsi="Tahoma" w:cs="Tahoma"/>
                <w:sz w:val="22"/>
                <w:szCs w:val="22"/>
              </w:rPr>
              <w:t xml:space="preserve">a partir de la reforma al artículo 43 de la Ley del </w:t>
            </w:r>
            <w:r w:rsidR="00602FA1">
              <w:rPr>
                <w:rFonts w:ascii="Tahoma" w:hAnsi="Tahoma" w:cs="Tahoma"/>
                <w:sz w:val="22"/>
                <w:szCs w:val="22"/>
              </w:rPr>
              <w:t>INFONAVIT</w:t>
            </w:r>
            <w:r w:rsidR="00C747C9" w:rsidRPr="00BC3F39">
              <w:rPr>
                <w:rFonts w:ascii="Tahoma" w:hAnsi="Tahoma" w:cs="Tahoma"/>
                <w:sz w:val="22"/>
                <w:szCs w:val="22"/>
              </w:rPr>
              <w:t xml:space="preserve"> de enero de 2012, se dotó al Instituto de la facultad para desarrollar un régimen de inversión de largo plazo que </w:t>
            </w:r>
            <w:r w:rsidR="00280006" w:rsidRPr="00BC3F39">
              <w:rPr>
                <w:rFonts w:ascii="Tahoma" w:hAnsi="Tahoma" w:cs="Tahoma"/>
                <w:sz w:val="22"/>
                <w:szCs w:val="22"/>
              </w:rPr>
              <w:t xml:space="preserve">fortalezca </w:t>
            </w:r>
            <w:r w:rsidR="00C747C9" w:rsidRPr="00BC3F39">
              <w:rPr>
                <w:rFonts w:ascii="Tahoma" w:hAnsi="Tahoma" w:cs="Tahoma"/>
                <w:sz w:val="22"/>
                <w:szCs w:val="22"/>
              </w:rPr>
              <w:t>el rendimiento de la Subcuenta de Vivienda</w:t>
            </w:r>
            <w:r w:rsidR="00280006" w:rsidRPr="00BC3F39">
              <w:rPr>
                <w:rFonts w:ascii="Tahoma" w:hAnsi="Tahoma" w:cs="Tahoma"/>
                <w:sz w:val="22"/>
                <w:szCs w:val="22"/>
              </w:rPr>
              <w:t>.</w:t>
            </w:r>
          </w:p>
          <w:p w:rsidR="00C747C9" w:rsidRPr="00BC3F39" w:rsidRDefault="00C747C9" w:rsidP="00CC46D1">
            <w:pPr>
              <w:spacing w:after="160"/>
              <w:jc w:val="both"/>
              <w:rPr>
                <w:rFonts w:ascii="Tahoma" w:hAnsi="Tahoma" w:cs="Tahoma"/>
                <w:sz w:val="22"/>
                <w:szCs w:val="22"/>
              </w:rPr>
            </w:pPr>
            <w:r w:rsidRPr="00BC3F39">
              <w:rPr>
                <w:rFonts w:ascii="Tahoma" w:hAnsi="Tahoma" w:cs="Tahoma"/>
                <w:sz w:val="22"/>
                <w:szCs w:val="22"/>
              </w:rPr>
              <w:t xml:space="preserve">Lo anterior permitió que en febrero de 2014 el H. Consejo de Administración aprobara un nuevo régimen de inversión para los </w:t>
            </w:r>
            <w:r w:rsidR="0031780A" w:rsidRPr="00BC3F39">
              <w:rPr>
                <w:rFonts w:ascii="Tahoma" w:hAnsi="Tahoma" w:cs="Tahoma"/>
                <w:sz w:val="22"/>
                <w:szCs w:val="22"/>
              </w:rPr>
              <w:t>recursos líquidos</w:t>
            </w:r>
            <w:r w:rsidRPr="00BC3F39">
              <w:rPr>
                <w:rFonts w:ascii="Tahoma" w:hAnsi="Tahoma" w:cs="Tahoma"/>
                <w:sz w:val="22"/>
                <w:szCs w:val="22"/>
              </w:rPr>
              <w:t xml:space="preserve"> denominado Fondo de Apoyo a las Necesidades de Vivienda de los Trabajadores (</w:t>
            </w:r>
            <w:r w:rsidR="00602FA1">
              <w:rPr>
                <w:rFonts w:ascii="Tahoma" w:hAnsi="Tahoma" w:cs="Tahoma"/>
                <w:sz w:val="22"/>
                <w:szCs w:val="22"/>
              </w:rPr>
              <w:t>FANVIT</w:t>
            </w:r>
            <w:r w:rsidRPr="00BC3F39">
              <w:rPr>
                <w:rFonts w:ascii="Tahoma" w:hAnsi="Tahoma" w:cs="Tahoma"/>
                <w:sz w:val="22"/>
                <w:szCs w:val="22"/>
              </w:rPr>
              <w:t xml:space="preserve">), </w:t>
            </w:r>
            <w:r w:rsidR="00BF7280" w:rsidRPr="00BC3F39">
              <w:rPr>
                <w:rFonts w:ascii="Tahoma" w:hAnsi="Tahoma" w:cs="Tahoma"/>
                <w:sz w:val="22"/>
                <w:szCs w:val="22"/>
              </w:rPr>
              <w:t xml:space="preserve">el cual fue </w:t>
            </w:r>
            <w:r w:rsidRPr="00BC3F39">
              <w:rPr>
                <w:rFonts w:ascii="Tahoma" w:hAnsi="Tahoma" w:cs="Tahoma"/>
                <w:sz w:val="22"/>
                <w:szCs w:val="22"/>
              </w:rPr>
              <w:t>conformado para operar con un horizonte de inversión de largo plazo.</w:t>
            </w:r>
          </w:p>
          <w:p w:rsidR="004C2EBE" w:rsidRPr="00BC3F39" w:rsidRDefault="003F6153" w:rsidP="00CC46D1">
            <w:pPr>
              <w:autoSpaceDE w:val="0"/>
              <w:autoSpaceDN w:val="0"/>
              <w:adjustRightInd w:val="0"/>
              <w:spacing w:after="160"/>
              <w:jc w:val="both"/>
              <w:rPr>
                <w:rFonts w:ascii="Tahoma" w:hAnsi="Tahoma" w:cs="Tahoma"/>
                <w:sz w:val="22"/>
                <w:szCs w:val="22"/>
              </w:rPr>
            </w:pPr>
            <w:r w:rsidRPr="00BC3F39">
              <w:rPr>
                <w:rFonts w:ascii="Tahoma" w:hAnsi="Tahoma" w:cs="Tahoma"/>
                <w:sz w:val="22"/>
                <w:szCs w:val="22"/>
              </w:rPr>
              <w:t xml:space="preserve">Hasta ahora, las transferencias de recursos de la Tesorería al </w:t>
            </w:r>
            <w:r w:rsidR="00602FA1">
              <w:rPr>
                <w:rFonts w:ascii="Tahoma" w:hAnsi="Tahoma" w:cs="Tahoma"/>
                <w:sz w:val="22"/>
                <w:szCs w:val="22"/>
              </w:rPr>
              <w:t>FANVIT</w:t>
            </w:r>
            <w:r w:rsidRPr="00BC3F39">
              <w:rPr>
                <w:rFonts w:ascii="Tahoma" w:hAnsi="Tahoma" w:cs="Tahoma"/>
                <w:sz w:val="22"/>
                <w:szCs w:val="22"/>
              </w:rPr>
              <w:t xml:space="preserve"> se han generado por montos y en tiempos adecuados, pero sin existir una política puntual para ello. Considerando lo anterior, contar con un procedimiento normado y estandarizado para la transferencia de recursos de la Tesorería</w:t>
            </w:r>
            <w:r w:rsidR="00C108F4" w:rsidRPr="00BC3F39">
              <w:rPr>
                <w:rFonts w:ascii="Tahoma" w:hAnsi="Tahoma" w:cs="Tahoma"/>
                <w:sz w:val="22"/>
                <w:szCs w:val="22"/>
              </w:rPr>
              <w:t xml:space="preserve"> </w:t>
            </w:r>
            <w:r w:rsidRPr="00BC3F39">
              <w:rPr>
                <w:rFonts w:ascii="Tahoma" w:hAnsi="Tahoma" w:cs="Tahoma"/>
                <w:sz w:val="22"/>
                <w:szCs w:val="22"/>
              </w:rPr>
              <w:t xml:space="preserve">al </w:t>
            </w:r>
            <w:r w:rsidR="00602FA1">
              <w:rPr>
                <w:rFonts w:ascii="Tahoma" w:hAnsi="Tahoma" w:cs="Tahoma"/>
                <w:sz w:val="22"/>
                <w:szCs w:val="22"/>
              </w:rPr>
              <w:t>FANVIT</w:t>
            </w:r>
            <w:r w:rsidRPr="00BC3F39">
              <w:rPr>
                <w:rFonts w:ascii="Tahoma" w:hAnsi="Tahoma" w:cs="Tahoma"/>
                <w:sz w:val="22"/>
                <w:szCs w:val="22"/>
              </w:rPr>
              <w:t xml:space="preserve">, ayudaría a optimizar la inversión de los recursos líquidos del Instituto, al mismo tiempo que ofrecería mayor </w:t>
            </w:r>
            <w:r w:rsidR="005E603E" w:rsidRPr="00BC3F39">
              <w:rPr>
                <w:rFonts w:ascii="Tahoma" w:hAnsi="Tahoma" w:cs="Tahoma"/>
                <w:sz w:val="22"/>
                <w:szCs w:val="22"/>
              </w:rPr>
              <w:t>transparencia de acuerdo a las mejores prácticas corporativas</w:t>
            </w:r>
            <w:r w:rsidRPr="00BC3F39">
              <w:rPr>
                <w:rFonts w:ascii="Tahoma" w:hAnsi="Tahoma" w:cs="Tahoma"/>
                <w:sz w:val="22"/>
                <w:szCs w:val="22"/>
              </w:rPr>
              <w:t>.</w:t>
            </w:r>
          </w:p>
        </w:tc>
      </w:tr>
      <w:tr w:rsidR="00D8188A" w:rsidRPr="00BC3F39" w:rsidTr="00745E13">
        <w:trPr>
          <w:gridAfter w:val="2"/>
          <w:wAfter w:w="32" w:type="dxa"/>
          <w:trHeight w:val="7526"/>
        </w:trPr>
        <w:tc>
          <w:tcPr>
            <w:tcW w:w="1438" w:type="dxa"/>
            <w:tcBorders>
              <w:top w:val="single" w:sz="4" w:space="0" w:color="FFFFFF"/>
              <w:left w:val="single" w:sz="4" w:space="0" w:color="FFFFFF"/>
              <w:bottom w:val="single" w:sz="4" w:space="0" w:color="FFFFFF"/>
              <w:right w:val="single" w:sz="4" w:space="0" w:color="C0C0C0"/>
            </w:tcBorders>
          </w:tcPr>
          <w:p w:rsidR="006D0425" w:rsidRPr="00BC3F39" w:rsidRDefault="003C02CA" w:rsidP="00CC46D1">
            <w:pPr>
              <w:jc w:val="both"/>
              <w:rPr>
                <w:rFonts w:ascii="Tahoma" w:hAnsi="Tahoma" w:cs="Tahoma"/>
                <w:sz w:val="22"/>
                <w:szCs w:val="22"/>
              </w:rPr>
            </w:pPr>
            <w:r w:rsidRPr="00BC3F39">
              <w:rPr>
                <w:rFonts w:ascii="Tahoma" w:hAnsi="Tahoma" w:cs="Tahoma"/>
                <w:sz w:val="22"/>
                <w:szCs w:val="22"/>
              </w:rPr>
              <w:lastRenderedPageBreak/>
              <w:br w:type="page"/>
            </w:r>
            <w:r w:rsidR="00C108F4" w:rsidRPr="00BC3F39">
              <w:rPr>
                <w:rFonts w:ascii="Tahoma" w:hAnsi="Tahoma" w:cs="Tahoma"/>
                <w:b/>
                <w:sz w:val="22"/>
                <w:szCs w:val="22"/>
              </w:rPr>
              <w:t xml:space="preserve">VIII. </w:t>
            </w:r>
            <w:r w:rsidR="0049264E" w:rsidRPr="00BC3F39">
              <w:rPr>
                <w:rFonts w:ascii="Tahoma" w:hAnsi="Tahoma" w:cs="Tahoma"/>
                <w:b/>
                <w:sz w:val="22"/>
                <w:szCs w:val="22"/>
              </w:rPr>
              <w:t xml:space="preserve">Política de traspasos de recursos financieros de la Tesorería al </w:t>
            </w:r>
            <w:r w:rsidR="00602FA1">
              <w:rPr>
                <w:rFonts w:ascii="Tahoma" w:hAnsi="Tahoma" w:cs="Tahoma"/>
                <w:b/>
                <w:sz w:val="22"/>
                <w:szCs w:val="22"/>
              </w:rPr>
              <w:t>FANVIT</w:t>
            </w:r>
          </w:p>
        </w:tc>
        <w:tc>
          <w:tcPr>
            <w:tcW w:w="8326" w:type="dxa"/>
            <w:gridSpan w:val="3"/>
            <w:tcBorders>
              <w:top w:val="single" w:sz="4" w:space="0" w:color="FFFFFF"/>
              <w:left w:val="single" w:sz="4" w:space="0" w:color="C0C0C0"/>
              <w:bottom w:val="single" w:sz="4" w:space="0" w:color="FFFFFF"/>
              <w:right w:val="single" w:sz="4" w:space="0" w:color="FFFFFF"/>
            </w:tcBorders>
          </w:tcPr>
          <w:p w:rsidR="00C50F87" w:rsidRPr="00BC3F39" w:rsidRDefault="009B766D" w:rsidP="00CC46D1">
            <w:pPr>
              <w:spacing w:after="160"/>
              <w:jc w:val="both"/>
              <w:rPr>
                <w:rFonts w:ascii="Tahoma" w:hAnsi="Tahoma" w:cs="Tahoma"/>
                <w:sz w:val="22"/>
                <w:szCs w:val="22"/>
              </w:rPr>
            </w:pPr>
            <w:r w:rsidRPr="00BC3F39">
              <w:rPr>
                <w:rFonts w:ascii="Tahoma" w:hAnsi="Tahoma" w:cs="Tahoma"/>
                <w:sz w:val="22"/>
                <w:szCs w:val="22"/>
              </w:rPr>
              <w:t>La presente política defin</w:t>
            </w:r>
            <w:r w:rsidR="009A5CBC" w:rsidRPr="00BC3F39">
              <w:rPr>
                <w:rFonts w:ascii="Tahoma" w:hAnsi="Tahoma" w:cs="Tahoma"/>
                <w:sz w:val="22"/>
                <w:szCs w:val="22"/>
              </w:rPr>
              <w:t>e</w:t>
            </w:r>
            <w:r w:rsidRPr="00BC3F39">
              <w:rPr>
                <w:rFonts w:ascii="Tahoma" w:hAnsi="Tahoma" w:cs="Tahoma"/>
                <w:sz w:val="22"/>
                <w:szCs w:val="22"/>
              </w:rPr>
              <w:t xml:space="preserve"> los dos principales parámetros </w:t>
            </w:r>
            <w:r w:rsidR="0080056F" w:rsidRPr="00BC3F39">
              <w:rPr>
                <w:rFonts w:ascii="Tahoma" w:hAnsi="Tahoma" w:cs="Tahoma"/>
                <w:sz w:val="22"/>
                <w:szCs w:val="22"/>
              </w:rPr>
              <w:t xml:space="preserve">que serán la base </w:t>
            </w:r>
            <w:r w:rsidRPr="00BC3F39">
              <w:rPr>
                <w:rFonts w:ascii="Tahoma" w:hAnsi="Tahoma" w:cs="Tahoma"/>
                <w:sz w:val="22"/>
                <w:szCs w:val="22"/>
              </w:rPr>
              <w:t xml:space="preserve">para </w:t>
            </w:r>
            <w:r w:rsidR="0080056F" w:rsidRPr="00BC3F39">
              <w:rPr>
                <w:rFonts w:ascii="Tahoma" w:hAnsi="Tahoma" w:cs="Tahoma"/>
                <w:sz w:val="22"/>
                <w:szCs w:val="22"/>
              </w:rPr>
              <w:t xml:space="preserve">determinar </w:t>
            </w:r>
            <w:r w:rsidRPr="00BC3F39">
              <w:rPr>
                <w:rFonts w:ascii="Tahoma" w:hAnsi="Tahoma" w:cs="Tahoma"/>
                <w:sz w:val="22"/>
                <w:szCs w:val="22"/>
              </w:rPr>
              <w:t xml:space="preserve">las transferencias de recursos </w:t>
            </w:r>
            <w:r w:rsidR="009A5CBC" w:rsidRPr="00BC3F39">
              <w:rPr>
                <w:rFonts w:ascii="Tahoma" w:hAnsi="Tahoma" w:cs="Tahoma"/>
                <w:sz w:val="22"/>
                <w:szCs w:val="22"/>
              </w:rPr>
              <w:t xml:space="preserve">líquidos </w:t>
            </w:r>
            <w:r w:rsidR="00A1622A" w:rsidRPr="00BC3F39">
              <w:rPr>
                <w:rFonts w:ascii="Tahoma" w:hAnsi="Tahoma" w:cs="Tahoma"/>
                <w:sz w:val="22"/>
                <w:szCs w:val="22"/>
              </w:rPr>
              <w:t>de la T</w:t>
            </w:r>
            <w:r w:rsidRPr="00BC3F39">
              <w:rPr>
                <w:rFonts w:ascii="Tahoma" w:hAnsi="Tahoma" w:cs="Tahoma"/>
                <w:sz w:val="22"/>
                <w:szCs w:val="22"/>
              </w:rPr>
              <w:t xml:space="preserve">esorería al </w:t>
            </w:r>
            <w:r w:rsidR="00602FA1">
              <w:rPr>
                <w:rFonts w:ascii="Tahoma" w:hAnsi="Tahoma" w:cs="Tahoma"/>
                <w:sz w:val="22"/>
                <w:szCs w:val="22"/>
              </w:rPr>
              <w:t>FANVIT</w:t>
            </w:r>
            <w:r w:rsidRPr="00BC3F39">
              <w:rPr>
                <w:rFonts w:ascii="Tahoma" w:hAnsi="Tahoma" w:cs="Tahoma"/>
                <w:sz w:val="22"/>
                <w:szCs w:val="22"/>
              </w:rPr>
              <w:t>, los cuales s</w:t>
            </w:r>
            <w:r w:rsidR="005E7C4C" w:rsidRPr="00BC3F39">
              <w:rPr>
                <w:rFonts w:ascii="Tahoma" w:hAnsi="Tahoma" w:cs="Tahoma"/>
                <w:sz w:val="22"/>
                <w:szCs w:val="22"/>
              </w:rPr>
              <w:t>on</w:t>
            </w:r>
            <w:r w:rsidRPr="00BC3F39">
              <w:rPr>
                <w:rFonts w:ascii="Tahoma" w:hAnsi="Tahoma" w:cs="Tahoma"/>
                <w:sz w:val="22"/>
                <w:szCs w:val="22"/>
              </w:rPr>
              <w:t>:</w:t>
            </w:r>
          </w:p>
          <w:p w:rsidR="009B766D" w:rsidRPr="00BC3F39" w:rsidRDefault="0080056F" w:rsidP="00CC46D1">
            <w:pPr>
              <w:pStyle w:val="Prrafodelista"/>
              <w:numPr>
                <w:ilvl w:val="0"/>
                <w:numId w:val="31"/>
              </w:numPr>
              <w:spacing w:after="0" w:line="240" w:lineRule="auto"/>
              <w:ind w:left="714" w:hanging="357"/>
              <w:contextualSpacing w:val="0"/>
              <w:jc w:val="both"/>
              <w:rPr>
                <w:rFonts w:ascii="Tahoma" w:hAnsi="Tahoma" w:cs="Tahoma"/>
                <w:b/>
              </w:rPr>
            </w:pPr>
            <w:r w:rsidRPr="00BC3F39">
              <w:rPr>
                <w:rFonts w:ascii="Tahoma" w:hAnsi="Tahoma" w:cs="Tahoma"/>
                <w:b/>
              </w:rPr>
              <w:t>M</w:t>
            </w:r>
            <w:r w:rsidR="009B766D" w:rsidRPr="00BC3F39">
              <w:rPr>
                <w:rFonts w:ascii="Tahoma" w:hAnsi="Tahoma" w:cs="Tahoma"/>
                <w:b/>
              </w:rPr>
              <w:t>onto por el que deberán hacerse las transferencias</w:t>
            </w:r>
            <w:r w:rsidR="005E7C4C" w:rsidRPr="00BC3F39">
              <w:rPr>
                <w:rFonts w:ascii="Tahoma" w:hAnsi="Tahoma" w:cs="Tahoma"/>
                <w:b/>
              </w:rPr>
              <w:t>.</w:t>
            </w:r>
          </w:p>
          <w:p w:rsidR="009B766D" w:rsidRPr="00BC3F39" w:rsidRDefault="0080056F" w:rsidP="00CC46D1">
            <w:pPr>
              <w:pStyle w:val="Prrafodelista"/>
              <w:numPr>
                <w:ilvl w:val="0"/>
                <w:numId w:val="31"/>
              </w:numPr>
              <w:spacing w:after="160"/>
              <w:ind w:left="714" w:hanging="357"/>
              <w:contextualSpacing w:val="0"/>
              <w:jc w:val="both"/>
              <w:rPr>
                <w:rFonts w:ascii="Tahoma" w:hAnsi="Tahoma" w:cs="Tahoma"/>
                <w:b/>
              </w:rPr>
            </w:pPr>
            <w:r w:rsidRPr="00BC3F39">
              <w:rPr>
                <w:rFonts w:ascii="Tahoma" w:hAnsi="Tahoma" w:cs="Tahoma"/>
                <w:b/>
              </w:rPr>
              <w:t>P</w:t>
            </w:r>
            <w:r w:rsidR="009B766D" w:rsidRPr="00BC3F39">
              <w:rPr>
                <w:rFonts w:ascii="Tahoma" w:hAnsi="Tahoma" w:cs="Tahoma"/>
                <w:b/>
              </w:rPr>
              <w:t>eriodicidad con la que deberán hacerse las mismas</w:t>
            </w:r>
            <w:r w:rsidR="005E7C4C" w:rsidRPr="00BC3F39">
              <w:rPr>
                <w:rFonts w:ascii="Tahoma" w:hAnsi="Tahoma" w:cs="Tahoma"/>
                <w:b/>
              </w:rPr>
              <w:t>.</w:t>
            </w:r>
          </w:p>
          <w:p w:rsidR="00CE1061" w:rsidRPr="00BC3F39" w:rsidRDefault="00C57572" w:rsidP="00CC46D1">
            <w:pPr>
              <w:pStyle w:val="Prrafodelista"/>
              <w:spacing w:after="160"/>
              <w:ind w:left="0"/>
              <w:contextualSpacing w:val="0"/>
              <w:jc w:val="both"/>
              <w:rPr>
                <w:rFonts w:ascii="Tahoma" w:hAnsi="Tahoma" w:cs="Tahoma"/>
              </w:rPr>
            </w:pPr>
            <w:r w:rsidRPr="00BC3F39">
              <w:rPr>
                <w:rFonts w:ascii="Tahoma" w:hAnsi="Tahoma" w:cs="Tahoma"/>
              </w:rPr>
              <w:t>A continuación</w:t>
            </w:r>
            <w:r w:rsidR="00745E13">
              <w:rPr>
                <w:rFonts w:ascii="Tahoma" w:hAnsi="Tahoma" w:cs="Tahoma"/>
              </w:rPr>
              <w:t>,</w:t>
            </w:r>
            <w:r w:rsidRPr="00BC3F39">
              <w:rPr>
                <w:rFonts w:ascii="Tahoma" w:hAnsi="Tahoma" w:cs="Tahoma"/>
              </w:rPr>
              <w:t xml:space="preserve"> se presenta de manera simplificada</w:t>
            </w:r>
            <w:r w:rsidR="00CE1061" w:rsidRPr="00BC3F39">
              <w:rPr>
                <w:rFonts w:ascii="Tahoma" w:hAnsi="Tahoma" w:cs="Tahoma"/>
              </w:rPr>
              <w:t xml:space="preserve"> el </w:t>
            </w:r>
            <w:r w:rsidR="00DB7AA6" w:rsidRPr="00BC3F39">
              <w:rPr>
                <w:rFonts w:ascii="Tahoma" w:hAnsi="Tahoma" w:cs="Tahoma"/>
              </w:rPr>
              <w:t xml:space="preserve">ciclo de </w:t>
            </w:r>
            <w:r w:rsidR="00CE1061" w:rsidRPr="00BC3F39">
              <w:rPr>
                <w:rFonts w:ascii="Tahoma" w:hAnsi="Tahoma" w:cs="Tahoma"/>
              </w:rPr>
              <w:t xml:space="preserve">flujo de efectivo del </w:t>
            </w:r>
            <w:r w:rsidR="00602FA1">
              <w:rPr>
                <w:rFonts w:ascii="Tahoma" w:hAnsi="Tahoma" w:cs="Tahoma"/>
              </w:rPr>
              <w:t>INFONAVIT</w:t>
            </w:r>
            <w:r w:rsidRPr="00BC3F39">
              <w:rPr>
                <w:rFonts w:ascii="Tahoma" w:hAnsi="Tahoma" w:cs="Tahoma"/>
              </w:rPr>
              <w:t xml:space="preserve">, </w:t>
            </w:r>
            <w:r w:rsidR="003A47DB" w:rsidRPr="00BC3F39">
              <w:rPr>
                <w:rFonts w:ascii="Tahoma" w:hAnsi="Tahoma" w:cs="Tahoma"/>
              </w:rPr>
              <w:t xml:space="preserve">así como una </w:t>
            </w:r>
            <w:r w:rsidR="00DB7AA6" w:rsidRPr="00BC3F39">
              <w:rPr>
                <w:rFonts w:ascii="Tahoma" w:hAnsi="Tahoma" w:cs="Tahoma"/>
              </w:rPr>
              <w:t xml:space="preserve">indicación de </w:t>
            </w:r>
            <w:r w:rsidR="00C3672D" w:rsidRPr="00BC3F39">
              <w:rPr>
                <w:rFonts w:ascii="Tahoma" w:hAnsi="Tahoma" w:cs="Tahoma"/>
              </w:rPr>
              <w:t xml:space="preserve">la </w:t>
            </w:r>
            <w:r w:rsidR="00DB7AA6" w:rsidRPr="00BC3F39">
              <w:rPr>
                <w:rFonts w:ascii="Tahoma" w:hAnsi="Tahoma" w:cs="Tahoma"/>
              </w:rPr>
              <w:t xml:space="preserve">periodicidad de </w:t>
            </w:r>
            <w:r w:rsidR="003A47DB" w:rsidRPr="00BC3F39">
              <w:rPr>
                <w:rFonts w:ascii="Tahoma" w:hAnsi="Tahoma" w:cs="Tahoma"/>
              </w:rPr>
              <w:t>sus principales componentes:</w:t>
            </w:r>
            <w:r w:rsidRPr="00BC3F39">
              <w:rPr>
                <w:rFonts w:ascii="Tahoma" w:hAnsi="Tahoma" w:cs="Tahoma"/>
              </w:rPr>
              <w:t xml:space="preserve"> </w:t>
            </w:r>
          </w:p>
          <w:tbl>
            <w:tblPr>
              <w:tblW w:w="8108" w:type="dxa"/>
              <w:tblCellMar>
                <w:left w:w="70" w:type="dxa"/>
                <w:right w:w="70" w:type="dxa"/>
              </w:tblCellMar>
              <w:tblLook w:val="04A0" w:firstRow="1" w:lastRow="0" w:firstColumn="1" w:lastColumn="0" w:noHBand="0" w:noVBand="1"/>
            </w:tblPr>
            <w:tblGrid>
              <w:gridCol w:w="2780"/>
              <w:gridCol w:w="1840"/>
              <w:gridCol w:w="3488"/>
            </w:tblGrid>
            <w:tr w:rsidR="00240888" w:rsidRPr="00BC3F39" w:rsidTr="00F959F5">
              <w:trPr>
                <w:trHeight w:val="314"/>
              </w:trPr>
              <w:tc>
                <w:tcPr>
                  <w:tcW w:w="8108" w:type="dxa"/>
                  <w:gridSpan w:val="3"/>
                  <w:tcBorders>
                    <w:top w:val="nil"/>
                    <w:left w:val="nil"/>
                    <w:bottom w:val="nil"/>
                    <w:right w:val="nil"/>
                  </w:tcBorders>
                  <w:shd w:val="clear" w:color="000000" w:fill="C00000"/>
                  <w:noWrap/>
                  <w:vAlign w:val="center"/>
                </w:tcPr>
                <w:p w:rsidR="00240888" w:rsidRPr="00BC3F39" w:rsidRDefault="00240888">
                  <w:pPr>
                    <w:jc w:val="center"/>
                    <w:rPr>
                      <w:rFonts w:ascii="Tahoma" w:hAnsi="Tahoma" w:cs="Tahoma"/>
                      <w:b/>
                      <w:bCs/>
                      <w:color w:val="FFFFFF"/>
                      <w:sz w:val="22"/>
                      <w:szCs w:val="22"/>
                    </w:rPr>
                  </w:pPr>
                  <w:r w:rsidRPr="00BC3F39">
                    <w:rPr>
                      <w:rFonts w:ascii="Tahoma" w:hAnsi="Tahoma" w:cs="Tahoma"/>
                      <w:b/>
                      <w:bCs/>
                      <w:color w:val="FFFFFF"/>
                      <w:sz w:val="22"/>
                      <w:szCs w:val="22"/>
                    </w:rPr>
                    <w:t>Flujo de efectivo 2017</w:t>
                  </w:r>
                  <w:r w:rsidRPr="00BC3F39">
                    <w:rPr>
                      <w:rFonts w:ascii="Tahoma" w:hAnsi="Tahoma" w:cs="Tahoma"/>
                      <w:b/>
                      <w:bCs/>
                      <w:color w:val="FFFFFF"/>
                      <w:sz w:val="22"/>
                      <w:szCs w:val="22"/>
                      <w:vertAlign w:val="superscript"/>
                    </w:rPr>
                    <w:t>1</w:t>
                  </w:r>
                </w:p>
              </w:tc>
            </w:tr>
            <w:tr w:rsidR="00384536" w:rsidRPr="00BC3F39" w:rsidTr="00F959F5">
              <w:trPr>
                <w:trHeight w:val="512"/>
              </w:trPr>
              <w:tc>
                <w:tcPr>
                  <w:tcW w:w="2780" w:type="dxa"/>
                  <w:tcBorders>
                    <w:top w:val="nil"/>
                    <w:left w:val="nil"/>
                    <w:bottom w:val="nil"/>
                    <w:right w:val="nil"/>
                  </w:tcBorders>
                  <w:shd w:val="clear" w:color="000000" w:fill="C00000"/>
                  <w:noWrap/>
                  <w:vAlign w:val="center"/>
                  <w:hideMark/>
                </w:tcPr>
                <w:p w:rsidR="00384536" w:rsidRPr="00BC3F39" w:rsidRDefault="00240888" w:rsidP="00240888">
                  <w:pPr>
                    <w:jc w:val="center"/>
                    <w:rPr>
                      <w:rFonts w:ascii="Tahoma" w:hAnsi="Tahoma" w:cs="Tahoma"/>
                      <w:b/>
                      <w:bCs/>
                      <w:color w:val="FFFFFF"/>
                      <w:sz w:val="22"/>
                      <w:szCs w:val="22"/>
                    </w:rPr>
                  </w:pPr>
                  <w:r w:rsidRPr="00BC3F39">
                    <w:rPr>
                      <w:rFonts w:ascii="Tahoma" w:hAnsi="Tahoma" w:cs="Tahoma"/>
                      <w:b/>
                      <w:bCs/>
                      <w:color w:val="FFFFFF"/>
                      <w:sz w:val="22"/>
                      <w:szCs w:val="22"/>
                    </w:rPr>
                    <w:t>Concepto</w:t>
                  </w:r>
                </w:p>
              </w:tc>
              <w:tc>
                <w:tcPr>
                  <w:tcW w:w="1840" w:type="dxa"/>
                  <w:tcBorders>
                    <w:top w:val="nil"/>
                    <w:left w:val="nil"/>
                    <w:bottom w:val="nil"/>
                    <w:right w:val="nil"/>
                  </w:tcBorders>
                  <w:shd w:val="clear" w:color="000000" w:fill="C00000"/>
                  <w:vAlign w:val="center"/>
                  <w:hideMark/>
                </w:tcPr>
                <w:p w:rsidR="00384536" w:rsidRPr="00BC3F39" w:rsidRDefault="00384536" w:rsidP="00240888">
                  <w:pPr>
                    <w:jc w:val="center"/>
                    <w:rPr>
                      <w:rFonts w:ascii="Tahoma" w:hAnsi="Tahoma" w:cs="Tahoma"/>
                      <w:b/>
                      <w:bCs/>
                      <w:color w:val="FFFFFF"/>
                      <w:sz w:val="22"/>
                      <w:szCs w:val="22"/>
                    </w:rPr>
                  </w:pPr>
                  <w:r w:rsidRPr="00BC3F39">
                    <w:rPr>
                      <w:rFonts w:ascii="Tahoma" w:hAnsi="Tahoma" w:cs="Tahoma"/>
                      <w:b/>
                      <w:bCs/>
                      <w:color w:val="FFFFFF"/>
                      <w:sz w:val="22"/>
                      <w:szCs w:val="22"/>
                    </w:rPr>
                    <w:t xml:space="preserve"> </w:t>
                  </w:r>
                  <w:r w:rsidR="00240888" w:rsidRPr="00BC3F39">
                    <w:rPr>
                      <w:rFonts w:ascii="Tahoma" w:hAnsi="Tahoma" w:cs="Tahoma"/>
                      <w:b/>
                      <w:bCs/>
                      <w:color w:val="FFFFFF"/>
                      <w:sz w:val="22"/>
                      <w:szCs w:val="22"/>
                    </w:rPr>
                    <w:t xml:space="preserve">Monto </w:t>
                  </w:r>
                  <w:r w:rsidRPr="00BC3F39">
                    <w:rPr>
                      <w:rFonts w:ascii="Tahoma" w:hAnsi="Tahoma" w:cs="Tahoma"/>
                      <w:b/>
                      <w:bCs/>
                      <w:color w:val="FFFFFF"/>
                      <w:sz w:val="22"/>
                      <w:szCs w:val="22"/>
                    </w:rPr>
                    <w:t>(</w:t>
                  </w:r>
                  <w:r w:rsidR="00106EBE" w:rsidRPr="00BC3F39">
                    <w:rPr>
                      <w:rFonts w:ascii="Tahoma" w:hAnsi="Tahoma" w:cs="Tahoma"/>
                      <w:b/>
                      <w:bCs/>
                      <w:color w:val="FFFFFF"/>
                      <w:sz w:val="22"/>
                      <w:szCs w:val="22"/>
                    </w:rPr>
                    <w:t>mdp)</w:t>
                  </w:r>
                </w:p>
              </w:tc>
              <w:tc>
                <w:tcPr>
                  <w:tcW w:w="3488" w:type="dxa"/>
                  <w:tcBorders>
                    <w:top w:val="nil"/>
                    <w:left w:val="nil"/>
                    <w:bottom w:val="nil"/>
                    <w:right w:val="nil"/>
                  </w:tcBorders>
                  <w:shd w:val="clear" w:color="000000" w:fill="C00000"/>
                  <w:noWrap/>
                  <w:vAlign w:val="center"/>
                  <w:hideMark/>
                </w:tcPr>
                <w:p w:rsidR="00384536" w:rsidRPr="00BC3F39" w:rsidRDefault="00384536">
                  <w:pPr>
                    <w:jc w:val="center"/>
                    <w:rPr>
                      <w:rFonts w:ascii="Tahoma" w:hAnsi="Tahoma" w:cs="Tahoma"/>
                      <w:b/>
                      <w:bCs/>
                      <w:color w:val="FFFFFF"/>
                      <w:sz w:val="22"/>
                      <w:szCs w:val="22"/>
                    </w:rPr>
                  </w:pPr>
                  <w:r w:rsidRPr="00BC3F39">
                    <w:rPr>
                      <w:rFonts w:ascii="Tahoma" w:hAnsi="Tahoma" w:cs="Tahoma"/>
                      <w:b/>
                      <w:bCs/>
                      <w:color w:val="FFFFFF"/>
                      <w:sz w:val="22"/>
                      <w:szCs w:val="22"/>
                    </w:rPr>
                    <w:t>Periodicidad</w:t>
                  </w:r>
                </w:p>
              </w:tc>
            </w:tr>
            <w:tr w:rsidR="00384536" w:rsidRPr="00BC3F39" w:rsidTr="00F959F5">
              <w:trPr>
                <w:trHeight w:val="80"/>
              </w:trPr>
              <w:tc>
                <w:tcPr>
                  <w:tcW w:w="278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184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3488"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r>
            <w:tr w:rsidR="00384536" w:rsidRPr="00BC3F39" w:rsidTr="00F959F5">
              <w:trPr>
                <w:trHeight w:val="300"/>
              </w:trPr>
              <w:tc>
                <w:tcPr>
                  <w:tcW w:w="2780" w:type="dxa"/>
                  <w:tcBorders>
                    <w:top w:val="nil"/>
                    <w:left w:val="nil"/>
                    <w:bottom w:val="nil"/>
                    <w:right w:val="nil"/>
                  </w:tcBorders>
                  <w:shd w:val="clear" w:color="000000" w:fill="000000"/>
                  <w:noWrap/>
                  <w:vAlign w:val="center"/>
                  <w:hideMark/>
                </w:tcPr>
                <w:p w:rsidR="00384536" w:rsidRPr="00BC3F39" w:rsidRDefault="00384536">
                  <w:pPr>
                    <w:jc w:val="both"/>
                    <w:rPr>
                      <w:rFonts w:ascii="Tahoma" w:hAnsi="Tahoma" w:cs="Tahoma"/>
                      <w:b/>
                      <w:bCs/>
                      <w:color w:val="FFFFFF"/>
                      <w:sz w:val="22"/>
                      <w:szCs w:val="22"/>
                    </w:rPr>
                  </w:pPr>
                  <w:r w:rsidRPr="00BC3F39">
                    <w:rPr>
                      <w:rFonts w:ascii="Tahoma" w:hAnsi="Tahoma" w:cs="Tahoma"/>
                      <w:b/>
                      <w:bCs/>
                      <w:color w:val="FFFFFF"/>
                      <w:sz w:val="22"/>
                      <w:szCs w:val="22"/>
                    </w:rPr>
                    <w:t>Existencia inicial</w:t>
                  </w:r>
                </w:p>
              </w:tc>
              <w:tc>
                <w:tcPr>
                  <w:tcW w:w="1840" w:type="dxa"/>
                  <w:tcBorders>
                    <w:top w:val="nil"/>
                    <w:left w:val="nil"/>
                    <w:bottom w:val="nil"/>
                    <w:right w:val="nil"/>
                  </w:tcBorders>
                  <w:shd w:val="clear" w:color="000000" w:fill="000000"/>
                  <w:noWrap/>
                  <w:vAlign w:val="center"/>
                  <w:hideMark/>
                </w:tcPr>
                <w:p w:rsidR="00384536" w:rsidRPr="00BC3F39" w:rsidRDefault="00384536" w:rsidP="00C15166">
                  <w:pPr>
                    <w:jc w:val="center"/>
                    <w:rPr>
                      <w:rFonts w:ascii="Tahoma" w:hAnsi="Tahoma" w:cs="Tahoma"/>
                      <w:b/>
                      <w:bCs/>
                      <w:color w:val="FFFFFF"/>
                      <w:sz w:val="22"/>
                      <w:szCs w:val="22"/>
                    </w:rPr>
                  </w:pPr>
                  <w:r w:rsidRPr="00BC3F39">
                    <w:rPr>
                      <w:rFonts w:ascii="Tahoma" w:hAnsi="Tahoma" w:cs="Tahoma"/>
                      <w:b/>
                      <w:bCs/>
                      <w:color w:val="FFFFFF"/>
                      <w:sz w:val="22"/>
                      <w:szCs w:val="22"/>
                    </w:rPr>
                    <w:t>$115,</w:t>
                  </w:r>
                  <w:r w:rsidR="00EB7197" w:rsidRPr="00BC3F39">
                    <w:rPr>
                      <w:rFonts w:ascii="Tahoma" w:hAnsi="Tahoma" w:cs="Tahoma"/>
                      <w:b/>
                      <w:bCs/>
                      <w:color w:val="FFFFFF"/>
                      <w:sz w:val="22"/>
                      <w:szCs w:val="22"/>
                    </w:rPr>
                    <w:t>935</w:t>
                  </w:r>
                </w:p>
              </w:tc>
              <w:tc>
                <w:tcPr>
                  <w:tcW w:w="3488" w:type="dxa"/>
                  <w:tcBorders>
                    <w:top w:val="nil"/>
                    <w:left w:val="nil"/>
                    <w:bottom w:val="nil"/>
                    <w:right w:val="nil"/>
                  </w:tcBorders>
                  <w:shd w:val="clear" w:color="000000" w:fill="000000"/>
                  <w:noWrap/>
                  <w:vAlign w:val="center"/>
                  <w:hideMark/>
                </w:tcPr>
                <w:p w:rsidR="00384536" w:rsidRPr="00BC3F39" w:rsidRDefault="00384536">
                  <w:pPr>
                    <w:jc w:val="center"/>
                    <w:rPr>
                      <w:rFonts w:ascii="Tahoma" w:hAnsi="Tahoma" w:cs="Tahoma"/>
                      <w:b/>
                      <w:bCs/>
                      <w:color w:val="FFFFFF"/>
                      <w:sz w:val="22"/>
                      <w:szCs w:val="22"/>
                    </w:rPr>
                  </w:pPr>
                </w:p>
              </w:tc>
            </w:tr>
            <w:tr w:rsidR="00384536" w:rsidRPr="00BC3F39" w:rsidTr="00F959F5">
              <w:trPr>
                <w:trHeight w:val="80"/>
              </w:trPr>
              <w:tc>
                <w:tcPr>
                  <w:tcW w:w="278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184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3488"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r>
            <w:tr w:rsidR="00384536" w:rsidRPr="00BC3F39" w:rsidTr="00F959F5">
              <w:trPr>
                <w:trHeight w:val="508"/>
              </w:trPr>
              <w:tc>
                <w:tcPr>
                  <w:tcW w:w="2780"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Aportaciones</w:t>
                  </w:r>
                </w:p>
              </w:tc>
              <w:tc>
                <w:tcPr>
                  <w:tcW w:w="1840" w:type="dxa"/>
                  <w:tcBorders>
                    <w:top w:val="single" w:sz="8" w:space="0" w:color="auto"/>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$73,</w:t>
                  </w:r>
                  <w:r w:rsidR="00EB7197" w:rsidRPr="00BC3F39">
                    <w:rPr>
                      <w:rFonts w:ascii="Tahoma" w:hAnsi="Tahoma" w:cs="Tahoma"/>
                      <w:color w:val="000000"/>
                      <w:sz w:val="22"/>
                      <w:szCs w:val="22"/>
                    </w:rPr>
                    <w:t>265</w:t>
                  </w:r>
                </w:p>
              </w:tc>
              <w:tc>
                <w:tcPr>
                  <w:tcW w:w="3488" w:type="dxa"/>
                  <w:tcBorders>
                    <w:top w:val="single" w:sz="8" w:space="0" w:color="auto"/>
                    <w:left w:val="nil"/>
                    <w:bottom w:val="single" w:sz="4" w:space="0" w:color="auto"/>
                    <w:right w:val="single" w:sz="8" w:space="0" w:color="auto"/>
                  </w:tcBorders>
                  <w:shd w:val="clear" w:color="000000" w:fill="FFFFFF"/>
                  <w:vAlign w:val="center"/>
                  <w:hideMark/>
                </w:tcPr>
                <w:p w:rsidR="00384536" w:rsidRPr="00BC3F39" w:rsidRDefault="00384536">
                  <w:pPr>
                    <w:jc w:val="center"/>
                    <w:rPr>
                      <w:rFonts w:ascii="Tahoma" w:hAnsi="Tahoma" w:cs="Tahoma"/>
                      <w:color w:val="000000"/>
                      <w:sz w:val="22"/>
                      <w:szCs w:val="22"/>
                    </w:rPr>
                  </w:pPr>
                  <w:r w:rsidRPr="00BC3F39">
                    <w:rPr>
                      <w:rFonts w:ascii="Tahoma" w:hAnsi="Tahoma" w:cs="Tahoma"/>
                      <w:b/>
                      <w:color w:val="000000"/>
                      <w:sz w:val="22"/>
                      <w:szCs w:val="22"/>
                    </w:rPr>
                    <w:t xml:space="preserve">Bimestral en los meses </w:t>
                  </w:r>
                  <w:r w:rsidRPr="00BC3F39">
                    <w:rPr>
                      <w:rFonts w:ascii="Tahoma" w:hAnsi="Tahoma" w:cs="Tahoma"/>
                      <w:b/>
                      <w:color w:val="000000"/>
                      <w:sz w:val="22"/>
                      <w:szCs w:val="22"/>
                      <w:u w:val="single"/>
                    </w:rPr>
                    <w:t>nones</w:t>
                  </w:r>
                  <w:r w:rsidRPr="00BC3F39">
                    <w:rPr>
                      <w:rFonts w:ascii="Tahoma" w:hAnsi="Tahoma" w:cs="Tahoma"/>
                      <w:color w:val="000000"/>
                      <w:sz w:val="22"/>
                      <w:szCs w:val="22"/>
                    </w:rPr>
                    <w:br/>
                    <w:t>(ene, mar, may, jul, sep, nov)</w:t>
                  </w:r>
                </w:p>
              </w:tc>
            </w:tr>
            <w:tr w:rsidR="00384536" w:rsidRPr="00BC3F39" w:rsidTr="00F959F5">
              <w:trPr>
                <w:trHeight w:val="1274"/>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Recuperaciones (neto)</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$120,</w:t>
                  </w:r>
                  <w:r w:rsidR="00EB7197" w:rsidRPr="00BC3F39">
                    <w:rPr>
                      <w:rFonts w:ascii="Tahoma" w:hAnsi="Tahoma" w:cs="Tahoma"/>
                      <w:color w:val="000000"/>
                      <w:sz w:val="22"/>
                      <w:szCs w:val="22"/>
                    </w:rPr>
                    <w:t>651</w:t>
                  </w:r>
                </w:p>
              </w:tc>
              <w:tc>
                <w:tcPr>
                  <w:tcW w:w="3488" w:type="dxa"/>
                  <w:tcBorders>
                    <w:top w:val="nil"/>
                    <w:left w:val="nil"/>
                    <w:bottom w:val="single" w:sz="4" w:space="0" w:color="auto"/>
                    <w:right w:val="single" w:sz="8" w:space="0" w:color="auto"/>
                  </w:tcBorders>
                  <w:shd w:val="clear" w:color="000000" w:fill="FFFFFF"/>
                  <w:vAlign w:val="center"/>
                  <w:hideMark/>
                </w:tcPr>
                <w:p w:rsidR="00CC46D1" w:rsidRDefault="00384536" w:rsidP="00C15166">
                  <w:pPr>
                    <w:jc w:val="center"/>
                    <w:rPr>
                      <w:rFonts w:ascii="Tahoma" w:hAnsi="Tahoma" w:cs="Tahoma"/>
                      <w:color w:val="000000"/>
                      <w:sz w:val="22"/>
                      <w:szCs w:val="22"/>
                    </w:rPr>
                  </w:pPr>
                  <w:r w:rsidRPr="00BC3F39">
                    <w:rPr>
                      <w:rFonts w:ascii="Tahoma" w:hAnsi="Tahoma" w:cs="Tahoma"/>
                      <w:color w:val="000000"/>
                      <w:sz w:val="22"/>
                      <w:szCs w:val="22"/>
                    </w:rPr>
                    <w:t>Cobranza ROA</w:t>
                  </w:r>
                </w:p>
                <w:p w:rsidR="00CC46D1" w:rsidRDefault="00384536" w:rsidP="00C15166">
                  <w:pPr>
                    <w:jc w:val="center"/>
                    <w:rPr>
                      <w:rFonts w:ascii="Tahoma" w:hAnsi="Tahoma" w:cs="Tahoma"/>
                      <w:b/>
                      <w:color w:val="000000"/>
                      <w:sz w:val="22"/>
                      <w:szCs w:val="22"/>
                      <w:u w:val="single"/>
                    </w:rPr>
                  </w:pPr>
                  <w:r w:rsidRPr="00BC3F39">
                    <w:rPr>
                      <w:rFonts w:ascii="Tahoma" w:hAnsi="Tahoma" w:cs="Tahoma"/>
                      <w:b/>
                      <w:color w:val="000000"/>
                      <w:sz w:val="22"/>
                      <w:szCs w:val="22"/>
                    </w:rPr>
                    <w:t xml:space="preserve">Bimestral en los meses </w:t>
                  </w:r>
                  <w:r w:rsidRPr="00BC3F39">
                    <w:rPr>
                      <w:rFonts w:ascii="Tahoma" w:hAnsi="Tahoma" w:cs="Tahoma"/>
                      <w:b/>
                      <w:color w:val="000000"/>
                      <w:sz w:val="22"/>
                      <w:szCs w:val="22"/>
                      <w:u w:val="single"/>
                    </w:rPr>
                    <w:t>nones</w:t>
                  </w:r>
                </w:p>
                <w:p w:rsidR="00CC46D1" w:rsidRDefault="00384536" w:rsidP="00C15166">
                  <w:pPr>
                    <w:jc w:val="center"/>
                    <w:rPr>
                      <w:rFonts w:ascii="Tahoma" w:hAnsi="Tahoma" w:cs="Tahoma"/>
                      <w:color w:val="000000"/>
                      <w:sz w:val="22"/>
                      <w:szCs w:val="22"/>
                    </w:rPr>
                  </w:pPr>
                  <w:r w:rsidRPr="00BC3F39">
                    <w:rPr>
                      <w:rFonts w:ascii="Tahoma" w:hAnsi="Tahoma" w:cs="Tahoma"/>
                      <w:color w:val="000000"/>
                      <w:sz w:val="22"/>
                      <w:szCs w:val="22"/>
                    </w:rPr>
                    <w:t>(ene, ma</w:t>
                  </w:r>
                  <w:r w:rsidR="00386197" w:rsidRPr="00BC3F39">
                    <w:rPr>
                      <w:rFonts w:ascii="Tahoma" w:hAnsi="Tahoma" w:cs="Tahoma"/>
                      <w:color w:val="000000"/>
                      <w:sz w:val="22"/>
                      <w:szCs w:val="22"/>
                    </w:rPr>
                    <w:t>r, may, jul, sep, nov)</w:t>
                  </w:r>
                </w:p>
                <w:p w:rsidR="00CC46D1" w:rsidRDefault="00386197" w:rsidP="00C15166">
                  <w:pPr>
                    <w:jc w:val="center"/>
                    <w:rPr>
                      <w:rFonts w:ascii="Tahoma" w:hAnsi="Tahoma" w:cs="Tahoma"/>
                      <w:color w:val="000000"/>
                      <w:sz w:val="22"/>
                      <w:szCs w:val="22"/>
                    </w:rPr>
                  </w:pPr>
                  <w:r w:rsidRPr="00BC3F39">
                    <w:rPr>
                      <w:rFonts w:ascii="Tahoma" w:hAnsi="Tahoma" w:cs="Tahoma"/>
                      <w:color w:val="000000"/>
                      <w:sz w:val="22"/>
                      <w:szCs w:val="22"/>
                    </w:rPr>
                    <w:t>Cobranza</w:t>
                  </w:r>
                  <w:r w:rsidR="00384536" w:rsidRPr="00BC3F39">
                    <w:rPr>
                      <w:rFonts w:ascii="Tahoma" w:hAnsi="Tahoma" w:cs="Tahoma"/>
                      <w:color w:val="000000"/>
                      <w:sz w:val="22"/>
                      <w:szCs w:val="22"/>
                    </w:rPr>
                    <w:t xml:space="preserve"> REA</w:t>
                  </w:r>
                </w:p>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58"/>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Otras entradas</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w:t>
                  </w:r>
                  <w:r w:rsidR="00EB7197" w:rsidRPr="00BC3F39">
                    <w:rPr>
                      <w:rFonts w:ascii="Tahoma" w:hAnsi="Tahoma" w:cs="Tahoma"/>
                      <w:color w:val="000000"/>
                      <w:sz w:val="22"/>
                      <w:szCs w:val="22"/>
                    </w:rPr>
                    <w:t>9,431</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150"/>
              </w:trPr>
              <w:tc>
                <w:tcPr>
                  <w:tcW w:w="2780" w:type="dxa"/>
                  <w:tcBorders>
                    <w:top w:val="nil"/>
                    <w:left w:val="single" w:sz="8" w:space="0" w:color="auto"/>
                    <w:bottom w:val="single" w:sz="8"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Fuentes alternas (Cedevis)</w:t>
                  </w:r>
                </w:p>
              </w:tc>
              <w:tc>
                <w:tcPr>
                  <w:tcW w:w="1840" w:type="dxa"/>
                  <w:tcBorders>
                    <w:top w:val="nil"/>
                    <w:left w:val="nil"/>
                    <w:bottom w:val="single" w:sz="8" w:space="0" w:color="auto"/>
                    <w:right w:val="single" w:sz="4" w:space="0" w:color="auto"/>
                  </w:tcBorders>
                  <w:shd w:val="clear" w:color="000000" w:fill="FFFFFF"/>
                  <w:noWrap/>
                  <w:vAlign w:val="center"/>
                  <w:hideMark/>
                </w:tcPr>
                <w:p w:rsidR="00384536" w:rsidRPr="00BC3F39" w:rsidRDefault="00384536">
                  <w:pPr>
                    <w:jc w:val="center"/>
                    <w:rPr>
                      <w:rFonts w:ascii="Tahoma" w:hAnsi="Tahoma" w:cs="Tahoma"/>
                      <w:color w:val="000000"/>
                      <w:sz w:val="22"/>
                      <w:szCs w:val="22"/>
                    </w:rPr>
                  </w:pPr>
                  <w:r w:rsidRPr="00BC3F39">
                    <w:rPr>
                      <w:rFonts w:ascii="Tahoma" w:hAnsi="Tahoma" w:cs="Tahoma"/>
                      <w:color w:val="000000"/>
                      <w:sz w:val="22"/>
                      <w:szCs w:val="22"/>
                    </w:rPr>
                    <w:t>$1,000</w:t>
                  </w:r>
                </w:p>
              </w:tc>
              <w:tc>
                <w:tcPr>
                  <w:tcW w:w="3488" w:type="dxa"/>
                  <w:tcBorders>
                    <w:top w:val="nil"/>
                    <w:left w:val="nil"/>
                    <w:bottom w:val="single" w:sz="8" w:space="0" w:color="auto"/>
                    <w:right w:val="single" w:sz="8" w:space="0" w:color="auto"/>
                  </w:tcBorders>
                  <w:shd w:val="clear" w:color="000000" w:fill="FFFFFF"/>
                  <w:noWrap/>
                  <w:vAlign w:val="center"/>
                  <w:hideMark/>
                </w:tcPr>
                <w:p w:rsidR="00384536" w:rsidRPr="00BC3F39" w:rsidRDefault="00EC3BD2">
                  <w:pPr>
                    <w:jc w:val="center"/>
                    <w:rPr>
                      <w:rFonts w:ascii="Tahoma" w:hAnsi="Tahoma" w:cs="Tahoma"/>
                      <w:color w:val="000000"/>
                      <w:sz w:val="22"/>
                      <w:szCs w:val="22"/>
                    </w:rPr>
                  </w:pPr>
                  <w:r w:rsidRPr="00BC3F39">
                    <w:rPr>
                      <w:rFonts w:ascii="Tahoma" w:hAnsi="Tahoma" w:cs="Tahoma"/>
                      <w:color w:val="000000"/>
                      <w:sz w:val="22"/>
                      <w:szCs w:val="22"/>
                    </w:rPr>
                    <w:t>Programado</w:t>
                  </w:r>
                </w:p>
              </w:tc>
            </w:tr>
            <w:tr w:rsidR="00384536" w:rsidRPr="00BC3F39" w:rsidTr="00F959F5">
              <w:trPr>
                <w:trHeight w:val="258"/>
              </w:trPr>
              <w:tc>
                <w:tcPr>
                  <w:tcW w:w="2780" w:type="dxa"/>
                  <w:tcBorders>
                    <w:top w:val="nil"/>
                    <w:left w:val="single" w:sz="8" w:space="0" w:color="auto"/>
                    <w:bottom w:val="single" w:sz="8" w:space="0" w:color="auto"/>
                    <w:right w:val="nil"/>
                  </w:tcBorders>
                  <w:shd w:val="clear" w:color="000000" w:fill="BFBFBF"/>
                  <w:noWrap/>
                  <w:vAlign w:val="center"/>
                  <w:hideMark/>
                </w:tcPr>
                <w:p w:rsidR="00384536" w:rsidRPr="00BC3F39" w:rsidRDefault="00384536">
                  <w:pPr>
                    <w:rPr>
                      <w:rFonts w:ascii="Tahoma" w:hAnsi="Tahoma" w:cs="Tahoma"/>
                      <w:b/>
                      <w:bCs/>
                      <w:color w:val="000000"/>
                      <w:sz w:val="22"/>
                      <w:szCs w:val="22"/>
                    </w:rPr>
                  </w:pPr>
                  <w:r w:rsidRPr="00BC3F39">
                    <w:rPr>
                      <w:rFonts w:ascii="Tahoma" w:hAnsi="Tahoma" w:cs="Tahoma"/>
                      <w:b/>
                      <w:bCs/>
                      <w:color w:val="000000"/>
                      <w:sz w:val="22"/>
                      <w:szCs w:val="22"/>
                    </w:rPr>
                    <w:t>= Entradas totales</w:t>
                  </w:r>
                </w:p>
              </w:tc>
              <w:tc>
                <w:tcPr>
                  <w:tcW w:w="1840" w:type="dxa"/>
                  <w:tcBorders>
                    <w:top w:val="nil"/>
                    <w:left w:val="nil"/>
                    <w:bottom w:val="single" w:sz="8" w:space="0" w:color="auto"/>
                    <w:right w:val="nil"/>
                  </w:tcBorders>
                  <w:shd w:val="clear" w:color="000000" w:fill="BFBFBF"/>
                  <w:noWrap/>
                  <w:vAlign w:val="center"/>
                  <w:hideMark/>
                </w:tcPr>
                <w:p w:rsidR="00384536" w:rsidRPr="00BC3F39" w:rsidRDefault="00384536" w:rsidP="00C15166">
                  <w:pPr>
                    <w:jc w:val="center"/>
                    <w:rPr>
                      <w:rFonts w:ascii="Tahoma" w:hAnsi="Tahoma" w:cs="Tahoma"/>
                      <w:b/>
                      <w:bCs/>
                      <w:color w:val="000000"/>
                      <w:sz w:val="22"/>
                      <w:szCs w:val="22"/>
                    </w:rPr>
                  </w:pPr>
                  <w:r w:rsidRPr="00BC3F39">
                    <w:rPr>
                      <w:rFonts w:ascii="Tahoma" w:hAnsi="Tahoma" w:cs="Tahoma"/>
                      <w:b/>
                      <w:bCs/>
                      <w:color w:val="000000"/>
                      <w:sz w:val="22"/>
                      <w:szCs w:val="22"/>
                    </w:rPr>
                    <w:t>$</w:t>
                  </w:r>
                  <w:r w:rsidR="00EB7197" w:rsidRPr="00BC3F39">
                    <w:rPr>
                      <w:rFonts w:ascii="Tahoma" w:hAnsi="Tahoma" w:cs="Tahoma"/>
                      <w:b/>
                      <w:bCs/>
                      <w:color w:val="000000"/>
                      <w:sz w:val="22"/>
                      <w:szCs w:val="22"/>
                    </w:rPr>
                    <w:t>204</w:t>
                  </w:r>
                  <w:r w:rsidRPr="00BC3F39">
                    <w:rPr>
                      <w:rFonts w:ascii="Tahoma" w:hAnsi="Tahoma" w:cs="Tahoma"/>
                      <w:b/>
                      <w:bCs/>
                      <w:color w:val="000000"/>
                      <w:sz w:val="22"/>
                      <w:szCs w:val="22"/>
                    </w:rPr>
                    <w:t>,</w:t>
                  </w:r>
                  <w:r w:rsidR="00EB7197" w:rsidRPr="00BC3F39">
                    <w:rPr>
                      <w:rFonts w:ascii="Tahoma" w:hAnsi="Tahoma" w:cs="Tahoma"/>
                      <w:b/>
                      <w:bCs/>
                      <w:color w:val="000000"/>
                      <w:sz w:val="22"/>
                      <w:szCs w:val="22"/>
                    </w:rPr>
                    <w:t>347</w:t>
                  </w:r>
                </w:p>
              </w:tc>
              <w:tc>
                <w:tcPr>
                  <w:tcW w:w="3488" w:type="dxa"/>
                  <w:tcBorders>
                    <w:top w:val="nil"/>
                    <w:left w:val="nil"/>
                    <w:bottom w:val="single" w:sz="8" w:space="0" w:color="auto"/>
                    <w:right w:val="single" w:sz="8" w:space="0" w:color="auto"/>
                  </w:tcBorders>
                  <w:shd w:val="clear" w:color="000000" w:fill="BFBFBF"/>
                  <w:noWrap/>
                  <w:vAlign w:val="center"/>
                  <w:hideMark/>
                </w:tcPr>
                <w:p w:rsidR="00384536" w:rsidRPr="00BC3F39" w:rsidRDefault="00384536">
                  <w:pPr>
                    <w:jc w:val="center"/>
                    <w:rPr>
                      <w:rFonts w:ascii="Tahoma" w:hAnsi="Tahoma" w:cs="Tahoma"/>
                      <w:b/>
                      <w:bCs/>
                      <w:color w:val="000000"/>
                      <w:sz w:val="22"/>
                      <w:szCs w:val="22"/>
                    </w:rPr>
                  </w:pPr>
                </w:p>
              </w:tc>
            </w:tr>
            <w:tr w:rsidR="00384536" w:rsidRPr="00BC3F39" w:rsidTr="00F959F5">
              <w:trPr>
                <w:trHeight w:val="60"/>
              </w:trPr>
              <w:tc>
                <w:tcPr>
                  <w:tcW w:w="2780" w:type="dxa"/>
                  <w:tcBorders>
                    <w:top w:val="nil"/>
                    <w:left w:val="nil"/>
                    <w:bottom w:val="nil"/>
                    <w:right w:val="nil"/>
                  </w:tcBorders>
                  <w:shd w:val="clear" w:color="auto" w:fill="auto"/>
                  <w:noWrap/>
                  <w:vAlign w:val="bottom"/>
                  <w:hideMark/>
                </w:tcPr>
                <w:p w:rsidR="00384536" w:rsidRPr="00CC46D1" w:rsidRDefault="00384536">
                  <w:pPr>
                    <w:rPr>
                      <w:rFonts w:ascii="Tahoma" w:hAnsi="Tahoma" w:cs="Tahoma"/>
                      <w:color w:val="000000"/>
                      <w:sz w:val="10"/>
                      <w:szCs w:val="22"/>
                    </w:rPr>
                  </w:pPr>
                </w:p>
              </w:tc>
              <w:tc>
                <w:tcPr>
                  <w:tcW w:w="1840" w:type="dxa"/>
                  <w:tcBorders>
                    <w:top w:val="nil"/>
                    <w:left w:val="nil"/>
                    <w:bottom w:val="nil"/>
                    <w:right w:val="nil"/>
                  </w:tcBorders>
                  <w:shd w:val="clear" w:color="auto" w:fill="auto"/>
                  <w:noWrap/>
                  <w:vAlign w:val="bottom"/>
                  <w:hideMark/>
                </w:tcPr>
                <w:p w:rsidR="00384536" w:rsidRPr="00CC46D1" w:rsidRDefault="00384536">
                  <w:pPr>
                    <w:rPr>
                      <w:rFonts w:ascii="Tahoma" w:hAnsi="Tahoma" w:cs="Tahoma"/>
                      <w:color w:val="000000"/>
                      <w:sz w:val="10"/>
                      <w:szCs w:val="22"/>
                    </w:rPr>
                  </w:pPr>
                </w:p>
              </w:tc>
              <w:tc>
                <w:tcPr>
                  <w:tcW w:w="3488" w:type="dxa"/>
                  <w:tcBorders>
                    <w:top w:val="nil"/>
                    <w:left w:val="nil"/>
                    <w:bottom w:val="nil"/>
                    <w:right w:val="nil"/>
                  </w:tcBorders>
                  <w:shd w:val="clear" w:color="auto" w:fill="auto"/>
                  <w:noWrap/>
                  <w:vAlign w:val="bottom"/>
                  <w:hideMark/>
                </w:tcPr>
                <w:p w:rsidR="00384536" w:rsidRPr="00CC46D1" w:rsidRDefault="00384536">
                  <w:pPr>
                    <w:jc w:val="center"/>
                    <w:rPr>
                      <w:rFonts w:ascii="Tahoma" w:hAnsi="Tahoma" w:cs="Tahoma"/>
                      <w:color w:val="000000"/>
                      <w:sz w:val="10"/>
                      <w:szCs w:val="22"/>
                    </w:rPr>
                  </w:pPr>
                </w:p>
              </w:tc>
            </w:tr>
            <w:tr w:rsidR="00384536" w:rsidRPr="00BC3F39" w:rsidTr="00F959F5">
              <w:trPr>
                <w:trHeight w:val="236"/>
              </w:trPr>
              <w:tc>
                <w:tcPr>
                  <w:tcW w:w="2780" w:type="dxa"/>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Gasto operativo (GAOV)</w:t>
                  </w:r>
                  <w:r w:rsidRPr="00BC3F39">
                    <w:rPr>
                      <w:rFonts w:ascii="Tahoma" w:hAnsi="Tahoma" w:cs="Tahoma"/>
                      <w:color w:val="000000"/>
                      <w:sz w:val="22"/>
                      <w:szCs w:val="22"/>
                      <w:vertAlign w:val="superscript"/>
                    </w:rPr>
                    <w:t>2</w:t>
                  </w:r>
                </w:p>
              </w:tc>
              <w:tc>
                <w:tcPr>
                  <w:tcW w:w="1840" w:type="dxa"/>
                  <w:tcBorders>
                    <w:top w:val="single" w:sz="8" w:space="0" w:color="auto"/>
                    <w:left w:val="nil"/>
                    <w:bottom w:val="single" w:sz="4" w:space="0" w:color="auto"/>
                    <w:right w:val="single" w:sz="4" w:space="0" w:color="auto"/>
                  </w:tcBorders>
                  <w:shd w:val="clear" w:color="000000" w:fill="FFFFFF"/>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$10,</w:t>
                  </w:r>
                  <w:r w:rsidR="00C15166" w:rsidRPr="00BC3F39">
                    <w:rPr>
                      <w:rFonts w:ascii="Tahoma" w:hAnsi="Tahoma" w:cs="Tahoma"/>
                      <w:color w:val="000000"/>
                      <w:sz w:val="22"/>
                      <w:szCs w:val="22"/>
                    </w:rPr>
                    <w:t>424</w:t>
                  </w:r>
                </w:p>
              </w:tc>
              <w:tc>
                <w:tcPr>
                  <w:tcW w:w="3488" w:type="dxa"/>
                  <w:tcBorders>
                    <w:top w:val="single" w:sz="8" w:space="0" w:color="auto"/>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66"/>
              </w:trPr>
              <w:tc>
                <w:tcPr>
                  <w:tcW w:w="2780" w:type="dxa"/>
                  <w:tcBorders>
                    <w:top w:val="nil"/>
                    <w:left w:val="single" w:sz="8" w:space="0" w:color="auto"/>
                    <w:bottom w:val="single" w:sz="4" w:space="0" w:color="auto"/>
                    <w:right w:val="single" w:sz="4" w:space="0" w:color="auto"/>
                  </w:tcBorders>
                  <w:shd w:val="clear" w:color="000000" w:fill="FFFFFF"/>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Entrega de depósitos</w:t>
                  </w:r>
                </w:p>
              </w:tc>
              <w:tc>
                <w:tcPr>
                  <w:tcW w:w="1840" w:type="dxa"/>
                  <w:tcBorders>
                    <w:top w:val="nil"/>
                    <w:left w:val="nil"/>
                    <w:bottom w:val="single" w:sz="4" w:space="0" w:color="auto"/>
                    <w:right w:val="single" w:sz="4" w:space="0" w:color="auto"/>
                  </w:tcBorders>
                  <w:shd w:val="clear" w:color="000000" w:fill="FFFFFF"/>
                  <w:noWrap/>
                  <w:vAlign w:val="center"/>
                  <w:hideMark/>
                </w:tcPr>
                <w:p w:rsidR="00384536" w:rsidRPr="00BC3F39" w:rsidRDefault="00384536">
                  <w:pPr>
                    <w:jc w:val="center"/>
                    <w:rPr>
                      <w:rFonts w:ascii="Tahoma" w:hAnsi="Tahoma" w:cs="Tahoma"/>
                      <w:color w:val="000000"/>
                      <w:sz w:val="22"/>
                      <w:szCs w:val="22"/>
                    </w:rPr>
                  </w:pPr>
                  <w:r w:rsidRPr="00BC3F39">
                    <w:rPr>
                      <w:rFonts w:ascii="Tahoma" w:hAnsi="Tahoma" w:cs="Tahoma"/>
                      <w:color w:val="000000"/>
                      <w:sz w:val="22"/>
                      <w:szCs w:val="22"/>
                    </w:rPr>
                    <w:t>$19,875</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72"/>
              </w:trPr>
              <w:tc>
                <w:tcPr>
                  <w:tcW w:w="2780" w:type="dxa"/>
                  <w:tcBorders>
                    <w:top w:val="nil"/>
                    <w:left w:val="single" w:sz="8" w:space="0" w:color="auto"/>
                    <w:bottom w:val="single" w:sz="4" w:space="0" w:color="auto"/>
                    <w:right w:val="single" w:sz="4" w:space="0" w:color="auto"/>
                  </w:tcBorders>
                  <w:shd w:val="clear" w:color="auto" w:fill="auto"/>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Programa de Financiamiento</w:t>
                  </w:r>
                </w:p>
              </w:tc>
              <w:tc>
                <w:tcPr>
                  <w:tcW w:w="1840" w:type="dxa"/>
                  <w:tcBorders>
                    <w:top w:val="nil"/>
                    <w:left w:val="nil"/>
                    <w:bottom w:val="single" w:sz="4" w:space="0" w:color="auto"/>
                    <w:right w:val="single" w:sz="4" w:space="0" w:color="auto"/>
                  </w:tcBorders>
                  <w:shd w:val="clear" w:color="auto" w:fill="auto"/>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$130,</w:t>
                  </w:r>
                  <w:r w:rsidR="00C15166" w:rsidRPr="00BC3F39">
                    <w:rPr>
                      <w:rFonts w:ascii="Tahoma" w:hAnsi="Tahoma" w:cs="Tahoma"/>
                      <w:color w:val="000000"/>
                      <w:sz w:val="22"/>
                      <w:szCs w:val="22"/>
                    </w:rPr>
                    <w:t>990</w:t>
                  </w:r>
                </w:p>
              </w:tc>
              <w:tc>
                <w:tcPr>
                  <w:tcW w:w="3488" w:type="dxa"/>
                  <w:tcBorders>
                    <w:top w:val="nil"/>
                    <w:left w:val="nil"/>
                    <w:bottom w:val="single" w:sz="4"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262"/>
              </w:trPr>
              <w:tc>
                <w:tcPr>
                  <w:tcW w:w="2780" w:type="dxa"/>
                  <w:tcBorders>
                    <w:top w:val="nil"/>
                    <w:left w:val="single" w:sz="8" w:space="0" w:color="auto"/>
                    <w:bottom w:val="single" w:sz="8" w:space="0" w:color="auto"/>
                    <w:right w:val="single" w:sz="4" w:space="0" w:color="auto"/>
                  </w:tcBorders>
                  <w:shd w:val="clear" w:color="auto" w:fill="auto"/>
                  <w:noWrap/>
                  <w:vAlign w:val="center"/>
                  <w:hideMark/>
                </w:tcPr>
                <w:p w:rsidR="00384536" w:rsidRPr="00BC3F39" w:rsidRDefault="00384536">
                  <w:pPr>
                    <w:rPr>
                      <w:rFonts w:ascii="Tahoma" w:hAnsi="Tahoma" w:cs="Tahoma"/>
                      <w:color w:val="000000"/>
                      <w:sz w:val="22"/>
                      <w:szCs w:val="22"/>
                    </w:rPr>
                  </w:pPr>
                  <w:r w:rsidRPr="00BC3F39">
                    <w:rPr>
                      <w:rFonts w:ascii="Tahoma" w:hAnsi="Tahoma" w:cs="Tahoma"/>
                      <w:color w:val="000000"/>
                      <w:sz w:val="22"/>
                      <w:szCs w:val="22"/>
                    </w:rPr>
                    <w:t xml:space="preserve">(-) </w:t>
                  </w:r>
                  <w:r w:rsidR="003211E0" w:rsidRPr="00BC3F39">
                    <w:rPr>
                      <w:rFonts w:ascii="Tahoma" w:hAnsi="Tahoma" w:cs="Tahoma"/>
                      <w:color w:val="000000"/>
                      <w:sz w:val="22"/>
                      <w:szCs w:val="22"/>
                    </w:rPr>
                    <w:t>Otras salidas</w:t>
                  </w:r>
                </w:p>
              </w:tc>
              <w:tc>
                <w:tcPr>
                  <w:tcW w:w="1840" w:type="dxa"/>
                  <w:tcBorders>
                    <w:top w:val="nil"/>
                    <w:left w:val="nil"/>
                    <w:bottom w:val="single" w:sz="8" w:space="0" w:color="auto"/>
                    <w:right w:val="single" w:sz="4" w:space="0" w:color="auto"/>
                  </w:tcBorders>
                  <w:shd w:val="clear" w:color="auto" w:fill="auto"/>
                  <w:noWrap/>
                  <w:vAlign w:val="center"/>
                  <w:hideMark/>
                </w:tcPr>
                <w:p w:rsidR="00384536" w:rsidRPr="00BC3F39" w:rsidRDefault="00384536" w:rsidP="00C15166">
                  <w:pPr>
                    <w:jc w:val="center"/>
                    <w:rPr>
                      <w:rFonts w:ascii="Tahoma" w:hAnsi="Tahoma" w:cs="Tahoma"/>
                      <w:color w:val="000000"/>
                      <w:sz w:val="22"/>
                      <w:szCs w:val="22"/>
                    </w:rPr>
                  </w:pPr>
                  <w:r w:rsidRPr="00BC3F39">
                    <w:rPr>
                      <w:rFonts w:ascii="Tahoma" w:hAnsi="Tahoma" w:cs="Tahoma"/>
                      <w:color w:val="000000"/>
                      <w:sz w:val="22"/>
                      <w:szCs w:val="22"/>
                    </w:rPr>
                    <w:t>$11,</w:t>
                  </w:r>
                  <w:r w:rsidR="00C15166" w:rsidRPr="00BC3F39">
                    <w:rPr>
                      <w:rFonts w:ascii="Tahoma" w:hAnsi="Tahoma" w:cs="Tahoma"/>
                      <w:color w:val="000000"/>
                      <w:sz w:val="22"/>
                      <w:szCs w:val="22"/>
                    </w:rPr>
                    <w:t>464</w:t>
                  </w:r>
                </w:p>
              </w:tc>
              <w:tc>
                <w:tcPr>
                  <w:tcW w:w="3488" w:type="dxa"/>
                  <w:tcBorders>
                    <w:top w:val="nil"/>
                    <w:left w:val="nil"/>
                    <w:bottom w:val="single" w:sz="8" w:space="0" w:color="auto"/>
                    <w:right w:val="single" w:sz="8" w:space="0" w:color="auto"/>
                  </w:tcBorders>
                  <w:shd w:val="clear" w:color="000000" w:fill="FFFFFF"/>
                  <w:noWrap/>
                  <w:vAlign w:val="center"/>
                  <w:hideMark/>
                </w:tcPr>
                <w:p w:rsidR="00384536" w:rsidRPr="00BC3F39" w:rsidRDefault="00C3672D">
                  <w:pPr>
                    <w:jc w:val="center"/>
                    <w:rPr>
                      <w:rFonts w:ascii="Tahoma" w:hAnsi="Tahoma" w:cs="Tahoma"/>
                      <w:color w:val="000000"/>
                      <w:sz w:val="22"/>
                      <w:szCs w:val="22"/>
                    </w:rPr>
                  </w:pPr>
                  <w:r w:rsidRPr="00BC3F39">
                    <w:rPr>
                      <w:rFonts w:ascii="Tahoma" w:hAnsi="Tahoma" w:cs="Tahoma"/>
                      <w:color w:val="000000"/>
                      <w:sz w:val="22"/>
                      <w:szCs w:val="22"/>
                    </w:rPr>
                    <w:t>Mensual</w:t>
                  </w:r>
                  <w:r w:rsidR="00EC3BD2" w:rsidRPr="00BC3F39">
                    <w:rPr>
                      <w:rFonts w:ascii="Tahoma" w:hAnsi="Tahoma" w:cs="Tahoma"/>
                      <w:color w:val="000000"/>
                      <w:sz w:val="22"/>
                      <w:szCs w:val="22"/>
                      <w:vertAlign w:val="superscript"/>
                    </w:rPr>
                    <w:t>2</w:t>
                  </w:r>
                </w:p>
              </w:tc>
            </w:tr>
            <w:tr w:rsidR="00384536" w:rsidRPr="00BC3F39" w:rsidTr="00F959F5">
              <w:trPr>
                <w:trHeight w:val="315"/>
              </w:trPr>
              <w:tc>
                <w:tcPr>
                  <w:tcW w:w="2780" w:type="dxa"/>
                  <w:tcBorders>
                    <w:top w:val="nil"/>
                    <w:left w:val="single" w:sz="8" w:space="0" w:color="auto"/>
                    <w:bottom w:val="single" w:sz="8" w:space="0" w:color="auto"/>
                    <w:right w:val="nil"/>
                  </w:tcBorders>
                  <w:shd w:val="clear" w:color="000000" w:fill="BFBFBF"/>
                  <w:noWrap/>
                  <w:vAlign w:val="center"/>
                  <w:hideMark/>
                </w:tcPr>
                <w:p w:rsidR="00384536" w:rsidRPr="00BC3F39" w:rsidRDefault="00384536">
                  <w:pPr>
                    <w:rPr>
                      <w:rFonts w:ascii="Tahoma" w:hAnsi="Tahoma" w:cs="Tahoma"/>
                      <w:b/>
                      <w:bCs/>
                      <w:color w:val="000000"/>
                      <w:sz w:val="22"/>
                      <w:szCs w:val="22"/>
                    </w:rPr>
                  </w:pPr>
                  <w:r w:rsidRPr="00BC3F39">
                    <w:rPr>
                      <w:rFonts w:ascii="Tahoma" w:hAnsi="Tahoma" w:cs="Tahoma"/>
                      <w:b/>
                      <w:bCs/>
                      <w:color w:val="000000"/>
                      <w:sz w:val="22"/>
                      <w:szCs w:val="22"/>
                    </w:rPr>
                    <w:t>= Salidas totales</w:t>
                  </w:r>
                </w:p>
              </w:tc>
              <w:tc>
                <w:tcPr>
                  <w:tcW w:w="1840" w:type="dxa"/>
                  <w:tcBorders>
                    <w:top w:val="nil"/>
                    <w:left w:val="nil"/>
                    <w:bottom w:val="single" w:sz="8" w:space="0" w:color="auto"/>
                    <w:right w:val="nil"/>
                  </w:tcBorders>
                  <w:shd w:val="clear" w:color="000000" w:fill="BFBFBF"/>
                  <w:noWrap/>
                  <w:vAlign w:val="center"/>
                  <w:hideMark/>
                </w:tcPr>
                <w:p w:rsidR="00384536" w:rsidRPr="00BC3F39" w:rsidRDefault="00384536" w:rsidP="00C15166">
                  <w:pPr>
                    <w:jc w:val="center"/>
                    <w:rPr>
                      <w:rFonts w:ascii="Tahoma" w:hAnsi="Tahoma" w:cs="Tahoma"/>
                      <w:b/>
                      <w:bCs/>
                      <w:color w:val="000000"/>
                      <w:sz w:val="22"/>
                      <w:szCs w:val="22"/>
                    </w:rPr>
                  </w:pPr>
                  <w:r w:rsidRPr="00BC3F39">
                    <w:rPr>
                      <w:rFonts w:ascii="Tahoma" w:hAnsi="Tahoma" w:cs="Tahoma"/>
                      <w:b/>
                      <w:bCs/>
                      <w:color w:val="000000"/>
                      <w:sz w:val="22"/>
                      <w:szCs w:val="22"/>
                    </w:rPr>
                    <w:t>$172,</w:t>
                  </w:r>
                  <w:r w:rsidR="00C15166" w:rsidRPr="00BC3F39">
                    <w:rPr>
                      <w:rFonts w:ascii="Tahoma" w:hAnsi="Tahoma" w:cs="Tahoma"/>
                      <w:b/>
                      <w:bCs/>
                      <w:color w:val="000000"/>
                      <w:sz w:val="22"/>
                      <w:szCs w:val="22"/>
                    </w:rPr>
                    <w:t>753</w:t>
                  </w:r>
                </w:p>
              </w:tc>
              <w:tc>
                <w:tcPr>
                  <w:tcW w:w="3488" w:type="dxa"/>
                  <w:tcBorders>
                    <w:top w:val="nil"/>
                    <w:left w:val="nil"/>
                    <w:bottom w:val="single" w:sz="8" w:space="0" w:color="auto"/>
                    <w:right w:val="single" w:sz="8" w:space="0" w:color="auto"/>
                  </w:tcBorders>
                  <w:shd w:val="clear" w:color="000000" w:fill="BFBFBF"/>
                  <w:noWrap/>
                  <w:vAlign w:val="center"/>
                  <w:hideMark/>
                </w:tcPr>
                <w:p w:rsidR="00384536" w:rsidRPr="00BC3F39" w:rsidRDefault="00384536">
                  <w:pPr>
                    <w:jc w:val="center"/>
                    <w:rPr>
                      <w:rFonts w:ascii="Tahoma" w:hAnsi="Tahoma" w:cs="Tahoma"/>
                      <w:b/>
                      <w:bCs/>
                      <w:color w:val="000000"/>
                      <w:sz w:val="22"/>
                      <w:szCs w:val="22"/>
                    </w:rPr>
                  </w:pPr>
                </w:p>
              </w:tc>
            </w:tr>
            <w:tr w:rsidR="00384536" w:rsidRPr="00BC3F39" w:rsidTr="00F959F5">
              <w:trPr>
                <w:trHeight w:val="60"/>
              </w:trPr>
              <w:tc>
                <w:tcPr>
                  <w:tcW w:w="278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1840"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c>
                <w:tcPr>
                  <w:tcW w:w="3488" w:type="dxa"/>
                  <w:tcBorders>
                    <w:top w:val="nil"/>
                    <w:left w:val="nil"/>
                    <w:bottom w:val="nil"/>
                    <w:right w:val="nil"/>
                  </w:tcBorders>
                  <w:shd w:val="clear" w:color="auto" w:fill="auto"/>
                  <w:noWrap/>
                  <w:vAlign w:val="bottom"/>
                  <w:hideMark/>
                </w:tcPr>
                <w:p w:rsidR="00384536" w:rsidRPr="00BC3F39" w:rsidRDefault="00384536">
                  <w:pPr>
                    <w:rPr>
                      <w:rFonts w:ascii="Tahoma" w:hAnsi="Tahoma" w:cs="Tahoma"/>
                      <w:color w:val="000000"/>
                      <w:sz w:val="22"/>
                      <w:szCs w:val="22"/>
                    </w:rPr>
                  </w:pPr>
                </w:p>
              </w:tc>
            </w:tr>
            <w:tr w:rsidR="00384536" w:rsidRPr="00BC3F39" w:rsidTr="00F959F5">
              <w:trPr>
                <w:trHeight w:val="300"/>
              </w:trPr>
              <w:tc>
                <w:tcPr>
                  <w:tcW w:w="2780" w:type="dxa"/>
                  <w:tcBorders>
                    <w:top w:val="nil"/>
                    <w:left w:val="nil"/>
                    <w:bottom w:val="nil"/>
                    <w:right w:val="nil"/>
                  </w:tcBorders>
                  <w:shd w:val="clear" w:color="000000" w:fill="000000"/>
                  <w:noWrap/>
                  <w:vAlign w:val="center"/>
                  <w:hideMark/>
                </w:tcPr>
                <w:p w:rsidR="00384536" w:rsidRPr="00BC3F39" w:rsidRDefault="00384536">
                  <w:pPr>
                    <w:jc w:val="both"/>
                    <w:rPr>
                      <w:rFonts w:ascii="Tahoma" w:hAnsi="Tahoma" w:cs="Tahoma"/>
                      <w:b/>
                      <w:bCs/>
                      <w:color w:val="FFFFFF"/>
                      <w:sz w:val="22"/>
                      <w:szCs w:val="22"/>
                    </w:rPr>
                  </w:pPr>
                  <w:r w:rsidRPr="00BC3F39">
                    <w:rPr>
                      <w:rFonts w:ascii="Tahoma" w:hAnsi="Tahoma" w:cs="Tahoma"/>
                      <w:b/>
                      <w:bCs/>
                      <w:color w:val="FFFFFF"/>
                      <w:sz w:val="22"/>
                      <w:szCs w:val="22"/>
                    </w:rPr>
                    <w:t>Existencia final</w:t>
                  </w:r>
                </w:p>
              </w:tc>
              <w:tc>
                <w:tcPr>
                  <w:tcW w:w="1840" w:type="dxa"/>
                  <w:tcBorders>
                    <w:top w:val="nil"/>
                    <w:left w:val="nil"/>
                    <w:bottom w:val="nil"/>
                    <w:right w:val="nil"/>
                  </w:tcBorders>
                  <w:shd w:val="clear" w:color="000000" w:fill="000000"/>
                  <w:noWrap/>
                  <w:vAlign w:val="center"/>
                  <w:hideMark/>
                </w:tcPr>
                <w:p w:rsidR="00384536" w:rsidRPr="00BC3F39" w:rsidRDefault="00384536" w:rsidP="00C15166">
                  <w:pPr>
                    <w:jc w:val="center"/>
                    <w:rPr>
                      <w:rFonts w:ascii="Tahoma" w:hAnsi="Tahoma" w:cs="Tahoma"/>
                      <w:b/>
                      <w:bCs/>
                      <w:color w:val="FFFFFF"/>
                      <w:sz w:val="22"/>
                      <w:szCs w:val="22"/>
                    </w:rPr>
                  </w:pPr>
                  <w:r w:rsidRPr="00BC3F39">
                    <w:rPr>
                      <w:rFonts w:ascii="Tahoma" w:hAnsi="Tahoma" w:cs="Tahoma"/>
                      <w:b/>
                      <w:bCs/>
                      <w:color w:val="FFFFFF"/>
                      <w:sz w:val="22"/>
                      <w:szCs w:val="22"/>
                    </w:rPr>
                    <w:t>$14</w:t>
                  </w:r>
                  <w:r w:rsidR="00C15166" w:rsidRPr="00BC3F39">
                    <w:rPr>
                      <w:rFonts w:ascii="Tahoma" w:hAnsi="Tahoma" w:cs="Tahoma"/>
                      <w:b/>
                      <w:bCs/>
                      <w:color w:val="FFFFFF"/>
                      <w:sz w:val="22"/>
                      <w:szCs w:val="22"/>
                    </w:rPr>
                    <w:t>7,529</w:t>
                  </w:r>
                </w:p>
              </w:tc>
              <w:tc>
                <w:tcPr>
                  <w:tcW w:w="3488" w:type="dxa"/>
                  <w:tcBorders>
                    <w:top w:val="nil"/>
                    <w:left w:val="nil"/>
                    <w:bottom w:val="nil"/>
                    <w:right w:val="nil"/>
                  </w:tcBorders>
                  <w:shd w:val="clear" w:color="000000" w:fill="000000"/>
                  <w:noWrap/>
                  <w:vAlign w:val="center"/>
                  <w:hideMark/>
                </w:tcPr>
                <w:p w:rsidR="00384536" w:rsidRPr="00BC3F39" w:rsidRDefault="00384536">
                  <w:pPr>
                    <w:jc w:val="center"/>
                    <w:rPr>
                      <w:rFonts w:ascii="Tahoma" w:hAnsi="Tahoma" w:cs="Tahoma"/>
                      <w:b/>
                      <w:bCs/>
                      <w:color w:val="FFFFFF"/>
                      <w:sz w:val="22"/>
                      <w:szCs w:val="22"/>
                    </w:rPr>
                  </w:pPr>
                </w:p>
              </w:tc>
            </w:tr>
            <w:tr w:rsidR="00384536" w:rsidRPr="00BC3F39" w:rsidTr="00F959F5">
              <w:trPr>
                <w:trHeight w:val="304"/>
              </w:trPr>
              <w:tc>
                <w:tcPr>
                  <w:tcW w:w="8108" w:type="dxa"/>
                  <w:gridSpan w:val="3"/>
                  <w:tcBorders>
                    <w:top w:val="nil"/>
                    <w:left w:val="nil"/>
                    <w:bottom w:val="nil"/>
                    <w:right w:val="nil"/>
                  </w:tcBorders>
                  <w:shd w:val="clear" w:color="000000" w:fill="FFFFFF"/>
                  <w:vAlign w:val="center"/>
                  <w:hideMark/>
                </w:tcPr>
                <w:p w:rsidR="00EC3BD2" w:rsidRPr="00745E13" w:rsidRDefault="00EC3BD2" w:rsidP="00E915D2">
                  <w:pPr>
                    <w:spacing w:after="120"/>
                    <w:jc w:val="both"/>
                    <w:rPr>
                      <w:rFonts w:ascii="Tahoma" w:hAnsi="Tahoma" w:cs="Tahoma"/>
                      <w:color w:val="000000"/>
                      <w:sz w:val="16"/>
                      <w:szCs w:val="22"/>
                    </w:rPr>
                  </w:pPr>
                  <w:r w:rsidRPr="00BC3F39">
                    <w:rPr>
                      <w:rFonts w:ascii="Tahoma" w:hAnsi="Tahoma" w:cs="Tahoma"/>
                      <w:color w:val="000000"/>
                      <w:sz w:val="22"/>
                      <w:szCs w:val="22"/>
                      <w:vertAlign w:val="superscript"/>
                    </w:rPr>
                    <w:t>1</w:t>
                  </w:r>
                  <w:r w:rsidR="00384536" w:rsidRPr="00BC3F39">
                    <w:rPr>
                      <w:rFonts w:ascii="Tahoma" w:hAnsi="Tahoma" w:cs="Tahoma"/>
                      <w:color w:val="000000"/>
                      <w:sz w:val="22"/>
                      <w:szCs w:val="22"/>
                    </w:rPr>
                    <w:t xml:space="preserve"> </w:t>
                  </w:r>
                  <w:r w:rsidRPr="00745E13">
                    <w:rPr>
                      <w:rFonts w:ascii="Tahoma" w:hAnsi="Tahoma" w:cs="Tahoma"/>
                      <w:color w:val="000000"/>
                      <w:sz w:val="16"/>
                      <w:szCs w:val="22"/>
                    </w:rPr>
                    <w:t>Las cifras presentad</w:t>
                  </w:r>
                  <w:r w:rsidR="000562B5" w:rsidRPr="00745E13">
                    <w:rPr>
                      <w:rFonts w:ascii="Tahoma" w:hAnsi="Tahoma" w:cs="Tahoma"/>
                      <w:color w:val="000000"/>
                      <w:sz w:val="16"/>
                      <w:szCs w:val="22"/>
                    </w:rPr>
                    <w:t>a</w:t>
                  </w:r>
                  <w:r w:rsidRPr="00745E13">
                    <w:rPr>
                      <w:rFonts w:ascii="Tahoma" w:hAnsi="Tahoma" w:cs="Tahoma"/>
                      <w:color w:val="000000"/>
                      <w:sz w:val="16"/>
                      <w:szCs w:val="22"/>
                    </w:rPr>
                    <w:t xml:space="preserve">s corresponden al presupuesto de flujo de efectivo 2017 </w:t>
                  </w:r>
                  <w:r w:rsidR="000562B5" w:rsidRPr="00745E13">
                    <w:rPr>
                      <w:rFonts w:ascii="Tahoma" w:hAnsi="Tahoma" w:cs="Tahoma"/>
                      <w:color w:val="000000"/>
                      <w:sz w:val="16"/>
                      <w:szCs w:val="22"/>
                    </w:rPr>
                    <w:t>incluidas</w:t>
                  </w:r>
                  <w:r w:rsidRPr="00745E13">
                    <w:rPr>
                      <w:rFonts w:ascii="Tahoma" w:hAnsi="Tahoma" w:cs="Tahoma"/>
                      <w:color w:val="000000"/>
                      <w:sz w:val="16"/>
                      <w:szCs w:val="22"/>
                    </w:rPr>
                    <w:t xml:space="preserve"> en el Plan Financiero 2017-2021 aprobado por la H. Asamblea </w:t>
                  </w:r>
                  <w:r w:rsidR="000562B5" w:rsidRPr="00745E13">
                    <w:rPr>
                      <w:rFonts w:ascii="Tahoma" w:hAnsi="Tahoma" w:cs="Tahoma"/>
                      <w:color w:val="000000"/>
                      <w:sz w:val="16"/>
                      <w:szCs w:val="22"/>
                    </w:rPr>
                    <w:t>G</w:t>
                  </w:r>
                  <w:r w:rsidRPr="00745E13">
                    <w:rPr>
                      <w:rFonts w:ascii="Tahoma" w:hAnsi="Tahoma" w:cs="Tahoma"/>
                      <w:color w:val="000000"/>
                      <w:sz w:val="16"/>
                      <w:szCs w:val="22"/>
                    </w:rPr>
                    <w:t xml:space="preserve">eneral del </w:t>
                  </w:r>
                  <w:r w:rsidR="00602FA1">
                    <w:rPr>
                      <w:rFonts w:ascii="Tahoma" w:hAnsi="Tahoma" w:cs="Tahoma"/>
                      <w:color w:val="000000"/>
                      <w:sz w:val="16"/>
                      <w:szCs w:val="22"/>
                    </w:rPr>
                    <w:t>INFONAVIT</w:t>
                  </w:r>
                  <w:r w:rsidRPr="00745E13">
                    <w:rPr>
                      <w:rFonts w:ascii="Tahoma" w:hAnsi="Tahoma" w:cs="Tahoma"/>
                      <w:color w:val="000000"/>
                      <w:sz w:val="16"/>
                      <w:szCs w:val="22"/>
                    </w:rPr>
                    <w:t xml:space="preserve"> en diciembre de 2016.</w:t>
                  </w:r>
                </w:p>
                <w:p w:rsidR="00384536" w:rsidRPr="00BC3F39" w:rsidRDefault="00EC3BD2" w:rsidP="00E915D2">
                  <w:pPr>
                    <w:jc w:val="both"/>
                    <w:rPr>
                      <w:rFonts w:ascii="Tahoma" w:hAnsi="Tahoma" w:cs="Tahoma"/>
                      <w:color w:val="000000"/>
                      <w:sz w:val="22"/>
                      <w:szCs w:val="22"/>
                    </w:rPr>
                  </w:pPr>
                  <w:r w:rsidRPr="00745E13">
                    <w:rPr>
                      <w:rFonts w:ascii="Tahoma" w:hAnsi="Tahoma" w:cs="Tahoma"/>
                      <w:color w:val="000000"/>
                      <w:sz w:val="16"/>
                      <w:szCs w:val="22"/>
                      <w:vertAlign w:val="superscript"/>
                    </w:rPr>
                    <w:t xml:space="preserve">2 </w:t>
                  </w:r>
                  <w:r w:rsidR="00384536" w:rsidRPr="00745E13">
                    <w:rPr>
                      <w:rFonts w:ascii="Tahoma" w:hAnsi="Tahoma" w:cs="Tahoma"/>
                      <w:color w:val="000000"/>
                      <w:sz w:val="16"/>
                      <w:szCs w:val="22"/>
                    </w:rPr>
                    <w:t xml:space="preserve">Aunque existen ligeras variaciones entre cada uno de los meses, los </w:t>
                  </w:r>
                  <w:r w:rsidR="00BC37B9" w:rsidRPr="00745E13">
                    <w:rPr>
                      <w:rFonts w:ascii="Tahoma" w:hAnsi="Tahoma" w:cs="Tahoma"/>
                      <w:color w:val="000000"/>
                      <w:sz w:val="16"/>
                      <w:szCs w:val="22"/>
                    </w:rPr>
                    <w:t xml:space="preserve">conceptos </w:t>
                  </w:r>
                  <w:r w:rsidR="00384536" w:rsidRPr="00745E13">
                    <w:rPr>
                      <w:rFonts w:ascii="Tahoma" w:hAnsi="Tahoma" w:cs="Tahoma"/>
                      <w:color w:val="000000"/>
                      <w:sz w:val="16"/>
                      <w:szCs w:val="22"/>
                    </w:rPr>
                    <w:t>marcados se pueden considerar de manera simplificada como flujos de entrada o salida uniformes durante el año.</w:t>
                  </w:r>
                </w:p>
                <w:p w:rsidR="00FD5C79" w:rsidRPr="00BC3F39" w:rsidRDefault="00FD5C79" w:rsidP="00E915D2">
                  <w:pPr>
                    <w:jc w:val="both"/>
                    <w:rPr>
                      <w:rFonts w:ascii="Tahoma" w:hAnsi="Tahoma" w:cs="Tahoma"/>
                      <w:color w:val="000000"/>
                      <w:sz w:val="22"/>
                      <w:szCs w:val="22"/>
                    </w:rPr>
                  </w:pPr>
                </w:p>
              </w:tc>
            </w:tr>
          </w:tbl>
          <w:p w:rsidR="0041051D" w:rsidRPr="00BC3F39" w:rsidRDefault="00E94B34" w:rsidP="00CC46D1">
            <w:pPr>
              <w:pStyle w:val="Prrafodelista"/>
              <w:spacing w:after="160"/>
              <w:ind w:left="0"/>
              <w:contextualSpacing w:val="0"/>
              <w:jc w:val="both"/>
              <w:rPr>
                <w:rFonts w:ascii="Tahoma" w:hAnsi="Tahoma" w:cs="Tahoma"/>
              </w:rPr>
            </w:pPr>
            <w:r w:rsidRPr="00BC3F39">
              <w:rPr>
                <w:rFonts w:ascii="Tahoma" w:hAnsi="Tahoma" w:cs="Tahoma"/>
              </w:rPr>
              <w:t>Como se puede observar</w:t>
            </w:r>
            <w:r w:rsidR="005145D5" w:rsidRPr="00BC3F39">
              <w:rPr>
                <w:rFonts w:ascii="Tahoma" w:hAnsi="Tahoma" w:cs="Tahoma"/>
              </w:rPr>
              <w:t xml:space="preserve"> de la </w:t>
            </w:r>
            <w:r w:rsidR="00BC0BB8" w:rsidRPr="00BC3F39">
              <w:rPr>
                <w:rFonts w:ascii="Tahoma" w:hAnsi="Tahoma" w:cs="Tahoma"/>
              </w:rPr>
              <w:t xml:space="preserve">tabla anterior, </w:t>
            </w:r>
            <w:r w:rsidRPr="00BC3F39">
              <w:rPr>
                <w:rFonts w:ascii="Tahoma" w:hAnsi="Tahoma" w:cs="Tahoma"/>
                <w:b/>
              </w:rPr>
              <w:t>las dos principales entradas de flujo de efectivo del Instituto son las aportaciones patronales y la cobranza de los créditos por nómina</w:t>
            </w:r>
            <w:r w:rsidRPr="00BC3F39">
              <w:rPr>
                <w:rFonts w:ascii="Tahoma" w:hAnsi="Tahoma" w:cs="Tahoma"/>
              </w:rPr>
              <w:t xml:space="preserve"> (Recuperaciones ROA), las cuales suceden ambas con periodicidad bimestral en los meses </w:t>
            </w:r>
            <w:r w:rsidR="005B2FAD" w:rsidRPr="00BC3F39">
              <w:rPr>
                <w:rFonts w:ascii="Tahoma" w:hAnsi="Tahoma" w:cs="Tahoma"/>
              </w:rPr>
              <w:t xml:space="preserve">de </w:t>
            </w:r>
            <w:r w:rsidRPr="00BC3F39">
              <w:rPr>
                <w:rFonts w:ascii="Tahoma" w:hAnsi="Tahoma" w:cs="Tahoma"/>
              </w:rPr>
              <w:t>enero, marzo, mayo, julio, septiembre</w:t>
            </w:r>
            <w:r w:rsidR="00EC2ACC" w:rsidRPr="00BC3F39">
              <w:rPr>
                <w:rFonts w:ascii="Tahoma" w:hAnsi="Tahoma" w:cs="Tahoma"/>
              </w:rPr>
              <w:t xml:space="preserve"> y</w:t>
            </w:r>
            <w:r w:rsidRPr="00BC3F39">
              <w:rPr>
                <w:rFonts w:ascii="Tahoma" w:hAnsi="Tahoma" w:cs="Tahoma"/>
              </w:rPr>
              <w:t xml:space="preserve"> noviembre</w:t>
            </w:r>
            <w:r w:rsidR="005B2FAD" w:rsidRPr="00BC3F39">
              <w:rPr>
                <w:rFonts w:ascii="Tahoma" w:hAnsi="Tahoma" w:cs="Tahoma"/>
              </w:rPr>
              <w:t xml:space="preserve">; por otro lado, prácticamente todas las salidas de efectivo </w:t>
            </w:r>
            <w:r w:rsidR="005B2FAD" w:rsidRPr="00BC3F39">
              <w:rPr>
                <w:rFonts w:ascii="Tahoma" w:hAnsi="Tahoma" w:cs="Tahoma"/>
              </w:rPr>
              <w:lastRenderedPageBreak/>
              <w:t>tienen un</w:t>
            </w:r>
            <w:r w:rsidR="00992744" w:rsidRPr="00BC3F39">
              <w:rPr>
                <w:rFonts w:ascii="Tahoma" w:hAnsi="Tahoma" w:cs="Tahoma"/>
              </w:rPr>
              <w:t>a</w:t>
            </w:r>
            <w:r w:rsidR="005B2FAD" w:rsidRPr="00BC3F39">
              <w:rPr>
                <w:rFonts w:ascii="Tahoma" w:hAnsi="Tahoma" w:cs="Tahoma"/>
              </w:rPr>
              <w:t xml:space="preserve"> </w:t>
            </w:r>
            <w:r w:rsidR="00992744" w:rsidRPr="00BC3F39">
              <w:rPr>
                <w:rFonts w:ascii="Tahoma" w:hAnsi="Tahoma" w:cs="Tahoma"/>
              </w:rPr>
              <w:t>periodicidad mensual</w:t>
            </w:r>
            <w:r w:rsidR="005B2FAD" w:rsidRPr="00BC3F39">
              <w:rPr>
                <w:rFonts w:ascii="Tahoma" w:hAnsi="Tahoma" w:cs="Tahoma"/>
              </w:rPr>
              <w:t>, siendo el principal concepto de salida de flujo de efectivo el Programa de Financiamiento.</w:t>
            </w:r>
          </w:p>
          <w:p w:rsidR="00E36461" w:rsidRPr="003211E0" w:rsidRDefault="00E36461" w:rsidP="00CC46D1">
            <w:pPr>
              <w:pStyle w:val="Prrafodelista"/>
              <w:spacing w:after="160"/>
              <w:ind w:left="0"/>
              <w:contextualSpacing w:val="0"/>
              <w:jc w:val="both"/>
              <w:rPr>
                <w:rFonts w:ascii="Tahoma" w:hAnsi="Tahoma" w:cs="Tahoma"/>
                <w:lang w:val="es-MX"/>
              </w:rPr>
            </w:pPr>
            <w:r w:rsidRPr="00BC3F39">
              <w:rPr>
                <w:rFonts w:ascii="Tahoma" w:hAnsi="Tahoma" w:cs="Tahoma"/>
              </w:rPr>
              <w:t xml:space="preserve">De manera gráfica, la existencia mensual de los recursos </w:t>
            </w:r>
            <w:r w:rsidR="005439DF" w:rsidRPr="00BC3F39">
              <w:rPr>
                <w:rFonts w:ascii="Tahoma" w:hAnsi="Tahoma" w:cs="Tahoma"/>
              </w:rPr>
              <w:t xml:space="preserve">disponibles para inversión </w:t>
            </w:r>
            <w:r w:rsidRPr="00BC3F39">
              <w:rPr>
                <w:rFonts w:ascii="Tahoma" w:hAnsi="Tahoma" w:cs="Tahoma"/>
              </w:rPr>
              <w:t xml:space="preserve">del Instituto </w:t>
            </w:r>
            <w:r w:rsidR="000B73FA" w:rsidRPr="00BC3F39">
              <w:rPr>
                <w:rFonts w:ascii="Tahoma" w:hAnsi="Tahoma" w:cs="Tahoma"/>
              </w:rPr>
              <w:t xml:space="preserve">durante 2017 podrían </w:t>
            </w:r>
            <w:r w:rsidR="00A51431" w:rsidRPr="00BC3F39">
              <w:rPr>
                <w:rFonts w:ascii="Tahoma" w:hAnsi="Tahoma" w:cs="Tahoma"/>
              </w:rPr>
              <w:t xml:space="preserve">resultar </w:t>
            </w:r>
            <w:r w:rsidRPr="00BC3F39">
              <w:rPr>
                <w:rFonts w:ascii="Tahoma" w:hAnsi="Tahoma" w:cs="Tahoma"/>
              </w:rPr>
              <w:t>de la siguiente manera:</w:t>
            </w:r>
          </w:p>
          <w:p w:rsidR="00E36461" w:rsidRPr="00BC3F39" w:rsidRDefault="00F20C13" w:rsidP="00CC46D1">
            <w:pPr>
              <w:pStyle w:val="Prrafodelista"/>
              <w:spacing w:after="160"/>
              <w:ind w:left="0"/>
              <w:contextualSpacing w:val="0"/>
              <w:jc w:val="both"/>
              <w:rPr>
                <w:rFonts w:ascii="Tahoma" w:hAnsi="Tahoma" w:cs="Tahoma"/>
              </w:rPr>
            </w:pPr>
            <w:r w:rsidRPr="00BC3F39">
              <w:rPr>
                <w:rFonts w:ascii="Tahoma" w:hAnsi="Tahoma" w:cs="Tahoma"/>
                <w:noProof/>
                <w:lang w:val="es-MX" w:eastAsia="es-MX"/>
              </w:rPr>
              <w:drawing>
                <wp:inline distT="0" distB="0" distL="0" distR="0" wp14:anchorId="775F8A49" wp14:editId="27490B28">
                  <wp:extent cx="5048250" cy="2781300"/>
                  <wp:effectExtent l="0" t="0" r="0" b="0"/>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B1840" w:rsidRPr="00BC3F39" w:rsidRDefault="001F2DBE" w:rsidP="00CC46D1">
            <w:pPr>
              <w:pStyle w:val="Prrafodelista"/>
              <w:spacing w:after="160"/>
              <w:ind w:left="0"/>
              <w:contextualSpacing w:val="0"/>
              <w:jc w:val="both"/>
              <w:rPr>
                <w:rFonts w:ascii="Tahoma" w:hAnsi="Tahoma" w:cs="Tahoma"/>
              </w:rPr>
            </w:pPr>
            <w:r w:rsidRPr="00BC3F39">
              <w:rPr>
                <w:rFonts w:ascii="Tahoma" w:hAnsi="Tahoma" w:cs="Tahoma"/>
              </w:rPr>
              <w:t xml:space="preserve">En condiciones de relativa estabilidad, resulta </w:t>
            </w:r>
            <w:r w:rsidR="00821184" w:rsidRPr="00BC3F39">
              <w:rPr>
                <w:rFonts w:ascii="Tahoma" w:hAnsi="Tahoma" w:cs="Tahoma"/>
              </w:rPr>
              <w:t xml:space="preserve">predecible </w:t>
            </w:r>
            <w:r w:rsidRPr="00BC3F39">
              <w:rPr>
                <w:rFonts w:ascii="Tahoma" w:hAnsi="Tahoma" w:cs="Tahoma"/>
              </w:rPr>
              <w:t xml:space="preserve">el </w:t>
            </w:r>
            <w:r w:rsidR="00821184" w:rsidRPr="00BC3F39">
              <w:rPr>
                <w:rFonts w:ascii="Tahoma" w:hAnsi="Tahoma" w:cs="Tahoma"/>
              </w:rPr>
              <w:t xml:space="preserve">patrón de flujos de efectivo, es posible entonces establecer un monto </w:t>
            </w:r>
            <w:r w:rsidR="0041051D" w:rsidRPr="00BC3F39">
              <w:rPr>
                <w:rFonts w:ascii="Tahoma" w:hAnsi="Tahoma" w:cs="Tahoma"/>
              </w:rPr>
              <w:t>de recursos líquidos para que la Tesorería</w:t>
            </w:r>
            <w:r w:rsidR="00FD5C79" w:rsidRPr="00BC3F39">
              <w:rPr>
                <w:rFonts w:ascii="Tahoma" w:hAnsi="Tahoma" w:cs="Tahoma"/>
              </w:rPr>
              <w:t xml:space="preserve"> </w:t>
            </w:r>
            <w:r w:rsidR="0041051D" w:rsidRPr="00BC3F39">
              <w:rPr>
                <w:rFonts w:ascii="Tahoma" w:hAnsi="Tahoma" w:cs="Tahoma"/>
              </w:rPr>
              <w:t>los conserve cada cierre de un mes non, disponiendo de esta cantidad durante los siguientes dos meses para todos los fines a su cargo (</w:t>
            </w:r>
            <w:r w:rsidR="00EF2495" w:rsidRPr="00BC3F39">
              <w:rPr>
                <w:rFonts w:ascii="Tahoma" w:hAnsi="Tahoma" w:cs="Tahoma"/>
              </w:rPr>
              <w:t xml:space="preserve">pago de </w:t>
            </w:r>
            <w:r w:rsidR="0041051D" w:rsidRPr="00BC3F39">
              <w:rPr>
                <w:rFonts w:ascii="Tahoma" w:hAnsi="Tahoma" w:cs="Tahoma"/>
              </w:rPr>
              <w:t xml:space="preserve">Programa de </w:t>
            </w:r>
            <w:r w:rsidR="00834FD4" w:rsidRPr="00BC3F39">
              <w:rPr>
                <w:rFonts w:ascii="Tahoma" w:hAnsi="Tahoma" w:cs="Tahoma"/>
              </w:rPr>
              <w:t>Financiamiento</w:t>
            </w:r>
            <w:r w:rsidR="0041051D" w:rsidRPr="00BC3F39">
              <w:rPr>
                <w:rFonts w:ascii="Tahoma" w:hAnsi="Tahoma" w:cs="Tahoma"/>
              </w:rPr>
              <w:t xml:space="preserve">, </w:t>
            </w:r>
            <w:r w:rsidR="00D33119" w:rsidRPr="00BC3F39">
              <w:rPr>
                <w:rFonts w:ascii="Tahoma" w:hAnsi="Tahoma" w:cs="Tahoma"/>
              </w:rPr>
              <w:t>e</w:t>
            </w:r>
            <w:r w:rsidR="0041051D" w:rsidRPr="00BC3F39">
              <w:rPr>
                <w:rFonts w:ascii="Tahoma" w:hAnsi="Tahoma" w:cs="Tahoma"/>
              </w:rPr>
              <w:t>ntrega de depósitos, GAOV, etc.)</w:t>
            </w:r>
            <w:r w:rsidR="00290FCF" w:rsidRPr="00BC3F39">
              <w:rPr>
                <w:rFonts w:ascii="Tahoma" w:hAnsi="Tahoma" w:cs="Tahoma"/>
              </w:rPr>
              <w:t xml:space="preserve">, </w:t>
            </w:r>
            <w:r w:rsidR="00311E10" w:rsidRPr="00BC3F39">
              <w:rPr>
                <w:rFonts w:ascii="Tahoma" w:hAnsi="Tahoma" w:cs="Tahoma"/>
              </w:rPr>
              <w:t>transfiriendo</w:t>
            </w:r>
            <w:r w:rsidR="00877285" w:rsidRPr="00BC3F39">
              <w:rPr>
                <w:rFonts w:ascii="Tahoma" w:hAnsi="Tahoma" w:cs="Tahoma"/>
              </w:rPr>
              <w:t xml:space="preserve"> cualquier remanente al </w:t>
            </w:r>
            <w:r w:rsidR="00602FA1">
              <w:rPr>
                <w:rFonts w:ascii="Tahoma" w:hAnsi="Tahoma" w:cs="Tahoma"/>
              </w:rPr>
              <w:t>FANVIT</w:t>
            </w:r>
            <w:r w:rsidR="00877285" w:rsidRPr="00BC3F39">
              <w:rPr>
                <w:rFonts w:ascii="Tahoma" w:hAnsi="Tahoma" w:cs="Tahoma"/>
              </w:rPr>
              <w:t xml:space="preserve"> para que éste sea invertido </w:t>
            </w:r>
            <w:r w:rsidR="00D33119" w:rsidRPr="00BC3F39">
              <w:rPr>
                <w:rFonts w:ascii="Tahoma" w:hAnsi="Tahoma" w:cs="Tahoma"/>
              </w:rPr>
              <w:t>con un horizonte de</w:t>
            </w:r>
            <w:r w:rsidR="00877285" w:rsidRPr="00BC3F39">
              <w:rPr>
                <w:rFonts w:ascii="Tahoma" w:hAnsi="Tahoma" w:cs="Tahoma"/>
              </w:rPr>
              <w:t xml:space="preserve"> largo plazo conforme a la política de inversión </w:t>
            </w:r>
            <w:r w:rsidR="00E763E4" w:rsidRPr="00BC3F39">
              <w:rPr>
                <w:rFonts w:ascii="Tahoma" w:hAnsi="Tahoma" w:cs="Tahoma"/>
              </w:rPr>
              <w:t>definida para ello</w:t>
            </w:r>
            <w:r w:rsidR="002B1840" w:rsidRPr="00BC3F39">
              <w:rPr>
                <w:rFonts w:ascii="Tahoma" w:hAnsi="Tahoma" w:cs="Tahoma"/>
              </w:rPr>
              <w:t>.</w:t>
            </w:r>
          </w:p>
          <w:p w:rsidR="0041051D" w:rsidRPr="00BC3F39" w:rsidRDefault="005D59EA" w:rsidP="00CC46D1">
            <w:pPr>
              <w:pStyle w:val="Prrafodelista"/>
              <w:spacing w:after="160"/>
              <w:ind w:left="0"/>
              <w:contextualSpacing w:val="0"/>
              <w:jc w:val="both"/>
              <w:rPr>
                <w:rFonts w:ascii="Tahoma" w:hAnsi="Tahoma" w:cs="Tahoma"/>
              </w:rPr>
            </w:pPr>
            <w:r w:rsidRPr="00BC3F39">
              <w:rPr>
                <w:rFonts w:ascii="Tahoma" w:hAnsi="Tahoma" w:cs="Tahoma"/>
              </w:rPr>
              <w:t xml:space="preserve">Considerando lo anterior, </w:t>
            </w:r>
            <w:r w:rsidR="003B6D7E" w:rsidRPr="00BC3F39">
              <w:rPr>
                <w:rFonts w:ascii="Tahoma" w:hAnsi="Tahoma" w:cs="Tahoma"/>
              </w:rPr>
              <w:t>se definen a continuación los siguien</w:t>
            </w:r>
            <w:r w:rsidR="00EF2495" w:rsidRPr="00BC3F39">
              <w:rPr>
                <w:rFonts w:ascii="Tahoma" w:hAnsi="Tahoma" w:cs="Tahoma"/>
              </w:rPr>
              <w:t xml:space="preserve">tes parámetros </w:t>
            </w:r>
            <w:r w:rsidR="003B6D7E" w:rsidRPr="00BC3F39">
              <w:rPr>
                <w:rFonts w:ascii="Tahoma" w:hAnsi="Tahoma" w:cs="Tahoma"/>
              </w:rPr>
              <w:t>para las transferencias de recursos que deberán hacerse de la Tesorería</w:t>
            </w:r>
            <w:r w:rsidR="0072379F" w:rsidRPr="00BC3F39">
              <w:rPr>
                <w:rFonts w:ascii="Tahoma" w:hAnsi="Tahoma" w:cs="Tahoma"/>
              </w:rPr>
              <w:t xml:space="preserve"> </w:t>
            </w:r>
            <w:r w:rsidR="003B6D7E" w:rsidRPr="00BC3F39">
              <w:rPr>
                <w:rFonts w:ascii="Tahoma" w:hAnsi="Tahoma" w:cs="Tahoma"/>
              </w:rPr>
              <w:t xml:space="preserve">al </w:t>
            </w:r>
            <w:r w:rsidR="00602FA1">
              <w:rPr>
                <w:rFonts w:ascii="Tahoma" w:hAnsi="Tahoma" w:cs="Tahoma"/>
              </w:rPr>
              <w:t>FANVIT</w:t>
            </w:r>
            <w:r w:rsidR="003B6D7E" w:rsidRPr="00BC3F39">
              <w:rPr>
                <w:rFonts w:ascii="Tahoma" w:hAnsi="Tahoma" w:cs="Tahoma"/>
              </w:rPr>
              <w:t>.</w:t>
            </w:r>
          </w:p>
          <w:p w:rsidR="009B766D" w:rsidRPr="00BC3F39" w:rsidRDefault="00A732B1" w:rsidP="00CC46D1">
            <w:pPr>
              <w:pStyle w:val="Prrafodelista"/>
              <w:numPr>
                <w:ilvl w:val="0"/>
                <w:numId w:val="32"/>
              </w:numPr>
              <w:spacing w:after="160"/>
              <w:ind w:left="311" w:hanging="235"/>
              <w:contextualSpacing w:val="0"/>
              <w:jc w:val="both"/>
              <w:rPr>
                <w:rFonts w:ascii="Tahoma" w:hAnsi="Tahoma" w:cs="Tahoma"/>
                <w:b/>
                <w:u w:val="single"/>
              </w:rPr>
            </w:pPr>
            <w:r w:rsidRPr="00BC3F39">
              <w:rPr>
                <w:rFonts w:ascii="Tahoma" w:hAnsi="Tahoma" w:cs="Tahoma"/>
                <w:b/>
                <w:u w:val="single"/>
              </w:rPr>
              <w:t>Respecto de la determinación del monto por el que deberán hacerse las transferencias</w:t>
            </w:r>
          </w:p>
          <w:p w:rsidR="00913764" w:rsidRPr="00BC3F39" w:rsidRDefault="00913764" w:rsidP="00CC46D1">
            <w:pPr>
              <w:spacing w:after="160"/>
              <w:jc w:val="both"/>
              <w:rPr>
                <w:rFonts w:ascii="Tahoma" w:hAnsi="Tahoma" w:cs="Tahoma"/>
                <w:sz w:val="22"/>
                <w:szCs w:val="22"/>
              </w:rPr>
            </w:pPr>
            <w:r w:rsidRPr="00BC3F39">
              <w:rPr>
                <w:rFonts w:ascii="Tahoma" w:hAnsi="Tahoma" w:cs="Tahoma"/>
                <w:sz w:val="22"/>
                <w:szCs w:val="22"/>
              </w:rPr>
              <w:t>El monto por el que deberán ha</w:t>
            </w:r>
            <w:r w:rsidR="0028792F" w:rsidRPr="00BC3F39">
              <w:rPr>
                <w:rFonts w:ascii="Tahoma" w:hAnsi="Tahoma" w:cs="Tahoma"/>
                <w:sz w:val="22"/>
                <w:szCs w:val="22"/>
              </w:rPr>
              <w:t>cerse las transferencias de la T</w:t>
            </w:r>
            <w:r w:rsidRPr="00BC3F39">
              <w:rPr>
                <w:rFonts w:ascii="Tahoma" w:hAnsi="Tahoma" w:cs="Tahoma"/>
                <w:sz w:val="22"/>
                <w:szCs w:val="22"/>
              </w:rPr>
              <w:t>esorería</w:t>
            </w:r>
            <w:r w:rsidR="0028792F" w:rsidRPr="00BC3F39">
              <w:rPr>
                <w:rFonts w:ascii="Tahoma" w:hAnsi="Tahoma" w:cs="Tahoma"/>
                <w:sz w:val="22"/>
                <w:szCs w:val="22"/>
              </w:rPr>
              <w:t xml:space="preserve"> </w:t>
            </w:r>
            <w:r w:rsidRPr="00BC3F39">
              <w:rPr>
                <w:rFonts w:ascii="Tahoma" w:hAnsi="Tahoma" w:cs="Tahoma"/>
                <w:sz w:val="22"/>
                <w:szCs w:val="22"/>
              </w:rPr>
              <w:t xml:space="preserve">al </w:t>
            </w:r>
            <w:r w:rsidR="00602FA1">
              <w:rPr>
                <w:rFonts w:ascii="Tahoma" w:hAnsi="Tahoma" w:cs="Tahoma"/>
                <w:sz w:val="22"/>
                <w:szCs w:val="22"/>
              </w:rPr>
              <w:t>FANVIT</w:t>
            </w:r>
            <w:r w:rsidRPr="00BC3F39">
              <w:rPr>
                <w:rFonts w:ascii="Tahoma" w:hAnsi="Tahoma" w:cs="Tahoma"/>
                <w:sz w:val="22"/>
                <w:szCs w:val="22"/>
              </w:rPr>
              <w:t xml:space="preserve">, </w:t>
            </w:r>
            <w:r w:rsidR="00690329" w:rsidRPr="00BC3F39">
              <w:rPr>
                <w:rFonts w:ascii="Tahoma" w:hAnsi="Tahoma" w:cs="Tahoma"/>
                <w:sz w:val="22"/>
                <w:szCs w:val="22"/>
              </w:rPr>
              <w:t>está en función del</w:t>
            </w:r>
            <w:r w:rsidRPr="00BC3F39">
              <w:rPr>
                <w:rFonts w:ascii="Tahoma" w:hAnsi="Tahoma" w:cs="Tahoma"/>
                <w:sz w:val="22"/>
                <w:szCs w:val="22"/>
              </w:rPr>
              <w:t xml:space="preserve"> monto </w:t>
            </w:r>
            <w:r w:rsidR="00690329" w:rsidRPr="00BC3F39">
              <w:rPr>
                <w:rFonts w:ascii="Tahoma" w:hAnsi="Tahoma" w:cs="Tahoma"/>
                <w:sz w:val="22"/>
                <w:szCs w:val="22"/>
              </w:rPr>
              <w:t>máximo</w:t>
            </w:r>
            <w:r w:rsidR="00915D8A" w:rsidRPr="00BC3F39">
              <w:rPr>
                <w:rFonts w:ascii="Tahoma" w:hAnsi="Tahoma" w:cs="Tahoma"/>
                <w:sz w:val="22"/>
                <w:szCs w:val="22"/>
              </w:rPr>
              <w:t xml:space="preserve"> </w:t>
            </w:r>
            <w:r w:rsidR="00D9717F" w:rsidRPr="00BC3F39">
              <w:rPr>
                <w:rFonts w:ascii="Tahoma" w:hAnsi="Tahoma" w:cs="Tahoma"/>
                <w:sz w:val="22"/>
                <w:szCs w:val="22"/>
              </w:rPr>
              <w:t xml:space="preserve">de recursos que deberá conservar la </w:t>
            </w:r>
            <w:r w:rsidR="009704BD" w:rsidRPr="00BC3F39">
              <w:rPr>
                <w:rFonts w:ascii="Tahoma" w:hAnsi="Tahoma" w:cs="Tahoma"/>
                <w:sz w:val="22"/>
                <w:szCs w:val="22"/>
              </w:rPr>
              <w:t>T</w:t>
            </w:r>
            <w:r w:rsidR="00D9717F" w:rsidRPr="00BC3F39">
              <w:rPr>
                <w:rFonts w:ascii="Tahoma" w:hAnsi="Tahoma" w:cs="Tahoma"/>
                <w:sz w:val="22"/>
                <w:szCs w:val="22"/>
              </w:rPr>
              <w:t>esorería</w:t>
            </w:r>
            <w:r w:rsidR="0079619E" w:rsidRPr="00BC3F39">
              <w:rPr>
                <w:rFonts w:ascii="Tahoma" w:hAnsi="Tahoma" w:cs="Tahoma"/>
                <w:sz w:val="22"/>
                <w:szCs w:val="22"/>
              </w:rPr>
              <w:t xml:space="preserve"> </w:t>
            </w:r>
            <w:r w:rsidR="006D7DB8" w:rsidRPr="00BC3F39">
              <w:rPr>
                <w:rFonts w:ascii="Tahoma" w:hAnsi="Tahoma" w:cs="Tahoma"/>
                <w:sz w:val="22"/>
                <w:szCs w:val="22"/>
              </w:rPr>
              <w:t>durante</w:t>
            </w:r>
            <w:r w:rsidR="00D9717F" w:rsidRPr="00BC3F39">
              <w:rPr>
                <w:rFonts w:ascii="Tahoma" w:hAnsi="Tahoma" w:cs="Tahoma"/>
                <w:sz w:val="22"/>
                <w:szCs w:val="22"/>
              </w:rPr>
              <w:t xml:space="preserve"> todos los meses nones (enero, marzo, mayo, julio, septiembre y noviembre)</w:t>
            </w:r>
            <w:r w:rsidR="009F78D8" w:rsidRPr="00BC3F39">
              <w:rPr>
                <w:rFonts w:ascii="Tahoma" w:hAnsi="Tahoma" w:cs="Tahoma"/>
                <w:sz w:val="22"/>
                <w:szCs w:val="22"/>
              </w:rPr>
              <w:t xml:space="preserve">. Este monto </w:t>
            </w:r>
            <w:r w:rsidR="00D74993" w:rsidRPr="00BC3F39">
              <w:rPr>
                <w:rFonts w:ascii="Tahoma" w:hAnsi="Tahoma" w:cs="Tahoma"/>
                <w:sz w:val="22"/>
                <w:szCs w:val="22"/>
              </w:rPr>
              <w:t>máximo</w:t>
            </w:r>
            <w:r w:rsidR="00915D8A" w:rsidRPr="00BC3F39">
              <w:rPr>
                <w:rFonts w:ascii="Tahoma" w:hAnsi="Tahoma" w:cs="Tahoma"/>
                <w:sz w:val="22"/>
                <w:szCs w:val="22"/>
              </w:rPr>
              <w:t xml:space="preserve"> </w:t>
            </w:r>
            <w:r w:rsidR="00D74993" w:rsidRPr="00BC3F39">
              <w:rPr>
                <w:rFonts w:ascii="Tahoma" w:hAnsi="Tahoma" w:cs="Tahoma"/>
                <w:sz w:val="22"/>
                <w:szCs w:val="22"/>
              </w:rPr>
              <w:t xml:space="preserve">deberá resultar suficiente para </w:t>
            </w:r>
            <w:r w:rsidR="008F74DD" w:rsidRPr="00BC3F39">
              <w:rPr>
                <w:rFonts w:ascii="Tahoma" w:hAnsi="Tahoma" w:cs="Tahoma"/>
                <w:sz w:val="22"/>
                <w:szCs w:val="22"/>
              </w:rPr>
              <w:t xml:space="preserve">que </w:t>
            </w:r>
            <w:r w:rsidR="009F78D8" w:rsidRPr="00BC3F39">
              <w:rPr>
                <w:rFonts w:ascii="Tahoma" w:hAnsi="Tahoma" w:cs="Tahoma"/>
                <w:sz w:val="22"/>
                <w:szCs w:val="22"/>
              </w:rPr>
              <w:t xml:space="preserve">la </w:t>
            </w:r>
            <w:r w:rsidR="00021372" w:rsidRPr="00BC3F39">
              <w:rPr>
                <w:rFonts w:ascii="Tahoma" w:hAnsi="Tahoma" w:cs="Tahoma"/>
                <w:sz w:val="22"/>
                <w:szCs w:val="22"/>
              </w:rPr>
              <w:t>T</w:t>
            </w:r>
            <w:r w:rsidR="009F78D8" w:rsidRPr="00BC3F39">
              <w:rPr>
                <w:rFonts w:ascii="Tahoma" w:hAnsi="Tahoma" w:cs="Tahoma"/>
                <w:sz w:val="22"/>
                <w:szCs w:val="22"/>
              </w:rPr>
              <w:t>esorería</w:t>
            </w:r>
            <w:r w:rsidR="009F76D8" w:rsidRPr="00BC3F39">
              <w:rPr>
                <w:rFonts w:ascii="Tahoma" w:hAnsi="Tahoma" w:cs="Tahoma"/>
                <w:sz w:val="22"/>
                <w:szCs w:val="22"/>
              </w:rPr>
              <w:t xml:space="preserve"> haga frente a toda </w:t>
            </w:r>
            <w:r w:rsidR="009F78D8" w:rsidRPr="00BC3F39">
              <w:rPr>
                <w:rFonts w:ascii="Tahoma" w:hAnsi="Tahoma" w:cs="Tahoma"/>
                <w:sz w:val="22"/>
                <w:szCs w:val="22"/>
              </w:rPr>
              <w:t xml:space="preserve">su operación </w:t>
            </w:r>
            <w:r w:rsidR="00D906AD" w:rsidRPr="00BC3F39">
              <w:rPr>
                <w:rFonts w:ascii="Tahoma" w:hAnsi="Tahoma" w:cs="Tahoma"/>
                <w:sz w:val="22"/>
                <w:szCs w:val="22"/>
              </w:rPr>
              <w:t>de los siguientes dos meses</w:t>
            </w:r>
            <w:r w:rsidR="00D74993" w:rsidRPr="00BC3F39">
              <w:rPr>
                <w:rFonts w:ascii="Tahoma" w:hAnsi="Tahoma" w:cs="Tahoma"/>
                <w:sz w:val="22"/>
                <w:szCs w:val="22"/>
              </w:rPr>
              <w:t xml:space="preserve">, manteniendo en todo momento </w:t>
            </w:r>
            <w:r w:rsidR="001B4E44" w:rsidRPr="00BC3F39">
              <w:rPr>
                <w:rFonts w:ascii="Tahoma" w:hAnsi="Tahoma" w:cs="Tahoma"/>
                <w:sz w:val="22"/>
                <w:szCs w:val="22"/>
              </w:rPr>
              <w:t xml:space="preserve">un </w:t>
            </w:r>
            <w:r w:rsidR="007A0E4D" w:rsidRPr="00BC3F39">
              <w:rPr>
                <w:rFonts w:ascii="Tahoma" w:hAnsi="Tahoma" w:cs="Tahoma"/>
                <w:b/>
                <w:sz w:val="22"/>
                <w:szCs w:val="22"/>
              </w:rPr>
              <w:t xml:space="preserve">saldo </w:t>
            </w:r>
            <w:r w:rsidR="00FD5C79" w:rsidRPr="00BC3F39">
              <w:rPr>
                <w:rFonts w:ascii="Tahoma" w:hAnsi="Tahoma" w:cs="Tahoma"/>
                <w:b/>
                <w:sz w:val="22"/>
                <w:szCs w:val="22"/>
              </w:rPr>
              <w:t xml:space="preserve">mínimo de </w:t>
            </w:r>
            <w:r w:rsidR="00CC705D" w:rsidRPr="00BC3F39">
              <w:rPr>
                <w:rFonts w:ascii="Tahoma" w:hAnsi="Tahoma" w:cs="Tahoma"/>
                <w:b/>
                <w:sz w:val="22"/>
                <w:szCs w:val="22"/>
              </w:rPr>
              <w:t>caja</w:t>
            </w:r>
            <w:r w:rsidR="00FD5C79" w:rsidRPr="00BC3F39">
              <w:rPr>
                <w:rFonts w:ascii="Tahoma" w:hAnsi="Tahoma" w:cs="Tahoma"/>
                <w:b/>
                <w:sz w:val="22"/>
                <w:szCs w:val="22"/>
              </w:rPr>
              <w:t xml:space="preserve"> de $</w:t>
            </w:r>
            <w:r w:rsidR="00CC705D" w:rsidRPr="00BC3F39">
              <w:rPr>
                <w:rFonts w:ascii="Tahoma" w:hAnsi="Tahoma" w:cs="Tahoma"/>
                <w:b/>
                <w:sz w:val="22"/>
                <w:szCs w:val="22"/>
              </w:rPr>
              <w:t>10,475</w:t>
            </w:r>
            <w:r w:rsidR="001B4E44" w:rsidRPr="00BC3F39">
              <w:rPr>
                <w:rFonts w:ascii="Tahoma" w:hAnsi="Tahoma" w:cs="Tahoma"/>
                <w:b/>
                <w:sz w:val="22"/>
                <w:szCs w:val="22"/>
              </w:rPr>
              <w:t xml:space="preserve"> millones de pesos</w:t>
            </w:r>
            <w:r w:rsidR="00915D8A" w:rsidRPr="00BC3F39">
              <w:rPr>
                <w:rStyle w:val="Refdenotaalpie"/>
                <w:rFonts w:ascii="Tahoma" w:hAnsi="Tahoma" w:cs="Tahoma"/>
                <w:b/>
                <w:sz w:val="22"/>
                <w:szCs w:val="22"/>
              </w:rPr>
              <w:footnoteReference w:id="1"/>
            </w:r>
            <w:r w:rsidR="001B4E44" w:rsidRPr="00BC3F39">
              <w:rPr>
                <w:rFonts w:ascii="Tahoma" w:hAnsi="Tahoma" w:cs="Tahoma"/>
                <w:sz w:val="22"/>
                <w:szCs w:val="22"/>
              </w:rPr>
              <w:t>.</w:t>
            </w:r>
          </w:p>
          <w:p w:rsidR="006D7DB8" w:rsidRPr="00BC3F39" w:rsidRDefault="00B46C00" w:rsidP="00CC46D1">
            <w:pPr>
              <w:spacing w:after="160"/>
              <w:jc w:val="both"/>
              <w:rPr>
                <w:rFonts w:ascii="Tahoma" w:hAnsi="Tahoma" w:cs="Tahoma"/>
                <w:sz w:val="22"/>
                <w:szCs w:val="22"/>
              </w:rPr>
            </w:pPr>
            <w:r w:rsidRPr="00BC3F39">
              <w:rPr>
                <w:rFonts w:ascii="Tahoma" w:hAnsi="Tahoma" w:cs="Tahoma"/>
                <w:sz w:val="22"/>
                <w:szCs w:val="22"/>
              </w:rPr>
              <w:t>Con base en las cifras observadas durante los años 2015</w:t>
            </w:r>
            <w:r w:rsidR="00E4793E" w:rsidRPr="00BC3F39">
              <w:rPr>
                <w:rFonts w:ascii="Tahoma" w:hAnsi="Tahoma" w:cs="Tahoma"/>
                <w:sz w:val="22"/>
                <w:szCs w:val="22"/>
              </w:rPr>
              <w:t>,</w:t>
            </w:r>
            <w:r w:rsidRPr="00BC3F39">
              <w:rPr>
                <w:rFonts w:ascii="Tahoma" w:hAnsi="Tahoma" w:cs="Tahoma"/>
                <w:sz w:val="22"/>
                <w:szCs w:val="22"/>
              </w:rPr>
              <w:t xml:space="preserve"> 2016</w:t>
            </w:r>
            <w:r w:rsidR="00FD5C79" w:rsidRPr="00BC3F39">
              <w:rPr>
                <w:rFonts w:ascii="Tahoma" w:hAnsi="Tahoma" w:cs="Tahoma"/>
                <w:sz w:val="22"/>
                <w:szCs w:val="22"/>
              </w:rPr>
              <w:t xml:space="preserve"> y presupuesto para el ejercicio 2017</w:t>
            </w:r>
            <w:r w:rsidRPr="00BC3F39">
              <w:rPr>
                <w:rFonts w:ascii="Tahoma" w:hAnsi="Tahoma" w:cs="Tahoma"/>
                <w:sz w:val="22"/>
                <w:szCs w:val="22"/>
              </w:rPr>
              <w:t xml:space="preserve">, </w:t>
            </w:r>
            <w:r w:rsidRPr="00BC3F39">
              <w:rPr>
                <w:rFonts w:ascii="Tahoma" w:hAnsi="Tahoma" w:cs="Tahoma"/>
                <w:b/>
                <w:sz w:val="22"/>
                <w:szCs w:val="22"/>
              </w:rPr>
              <w:t xml:space="preserve">el monto </w:t>
            </w:r>
            <w:r w:rsidR="00E4793E" w:rsidRPr="00BC3F39">
              <w:rPr>
                <w:rFonts w:ascii="Tahoma" w:hAnsi="Tahoma" w:cs="Tahoma"/>
                <w:b/>
                <w:sz w:val="22"/>
                <w:szCs w:val="22"/>
              </w:rPr>
              <w:t>máximo</w:t>
            </w:r>
            <w:r w:rsidR="003F6007" w:rsidRPr="00BC3F39">
              <w:rPr>
                <w:rFonts w:ascii="Tahoma" w:hAnsi="Tahoma" w:cs="Tahoma"/>
                <w:b/>
                <w:sz w:val="22"/>
                <w:szCs w:val="22"/>
              </w:rPr>
              <w:t xml:space="preserve"> </w:t>
            </w:r>
            <w:r w:rsidR="00CC705D" w:rsidRPr="00BC3F39">
              <w:rPr>
                <w:rFonts w:ascii="Tahoma" w:hAnsi="Tahoma" w:cs="Tahoma"/>
                <w:b/>
                <w:sz w:val="22"/>
                <w:szCs w:val="22"/>
              </w:rPr>
              <w:t xml:space="preserve">de recursos </w:t>
            </w:r>
            <w:r w:rsidRPr="00BC3F39">
              <w:rPr>
                <w:rFonts w:ascii="Tahoma" w:hAnsi="Tahoma" w:cs="Tahoma"/>
                <w:b/>
                <w:sz w:val="22"/>
                <w:szCs w:val="22"/>
              </w:rPr>
              <w:t>que deberá cons</w:t>
            </w:r>
            <w:r w:rsidR="00A96C0D" w:rsidRPr="00BC3F39">
              <w:rPr>
                <w:rFonts w:ascii="Tahoma" w:hAnsi="Tahoma" w:cs="Tahoma"/>
                <w:b/>
                <w:sz w:val="22"/>
                <w:szCs w:val="22"/>
              </w:rPr>
              <w:t xml:space="preserve">ervar la </w:t>
            </w:r>
            <w:r w:rsidR="00A96C0D" w:rsidRPr="00BC3F39">
              <w:rPr>
                <w:rFonts w:ascii="Tahoma" w:hAnsi="Tahoma" w:cs="Tahoma"/>
                <w:b/>
                <w:sz w:val="22"/>
                <w:szCs w:val="22"/>
              </w:rPr>
              <w:lastRenderedPageBreak/>
              <w:t>T</w:t>
            </w:r>
            <w:r w:rsidR="00A1622A" w:rsidRPr="00BC3F39">
              <w:rPr>
                <w:rFonts w:ascii="Tahoma" w:hAnsi="Tahoma" w:cs="Tahoma"/>
                <w:b/>
                <w:sz w:val="22"/>
                <w:szCs w:val="22"/>
              </w:rPr>
              <w:t xml:space="preserve">esorería </w:t>
            </w:r>
            <w:r w:rsidR="00EC1738" w:rsidRPr="00BC3F39">
              <w:rPr>
                <w:rFonts w:ascii="Tahoma" w:hAnsi="Tahoma" w:cs="Tahoma"/>
                <w:b/>
                <w:sz w:val="22"/>
                <w:szCs w:val="22"/>
              </w:rPr>
              <w:t>durante</w:t>
            </w:r>
            <w:r w:rsidR="00CC705D" w:rsidRPr="00BC3F39">
              <w:rPr>
                <w:rFonts w:ascii="Tahoma" w:hAnsi="Tahoma" w:cs="Tahoma"/>
                <w:b/>
                <w:sz w:val="22"/>
                <w:szCs w:val="22"/>
              </w:rPr>
              <w:t xml:space="preserve"> los meses par</w:t>
            </w:r>
            <w:r w:rsidR="00D82469" w:rsidRPr="00BC3F39">
              <w:rPr>
                <w:rFonts w:ascii="Tahoma" w:hAnsi="Tahoma" w:cs="Tahoma"/>
                <w:b/>
                <w:sz w:val="22"/>
                <w:szCs w:val="22"/>
              </w:rPr>
              <w:t>es de 2017 será de</w:t>
            </w:r>
            <w:r w:rsidR="009704BD" w:rsidRPr="00BC3F39">
              <w:rPr>
                <w:rFonts w:ascii="Tahoma" w:hAnsi="Tahoma" w:cs="Tahoma"/>
                <w:b/>
                <w:sz w:val="22"/>
                <w:szCs w:val="22"/>
              </w:rPr>
              <w:t xml:space="preserve"> </w:t>
            </w:r>
            <w:r w:rsidR="001415CF" w:rsidRPr="00BC3F39">
              <w:rPr>
                <w:rFonts w:ascii="Tahoma" w:hAnsi="Tahoma" w:cs="Tahoma"/>
                <w:b/>
                <w:sz w:val="22"/>
                <w:szCs w:val="22"/>
              </w:rPr>
              <w:t>$33</w:t>
            </w:r>
            <w:r w:rsidR="00CC705D" w:rsidRPr="00BC3F39">
              <w:rPr>
                <w:rFonts w:ascii="Tahoma" w:hAnsi="Tahoma" w:cs="Tahoma"/>
                <w:b/>
                <w:sz w:val="22"/>
                <w:szCs w:val="22"/>
              </w:rPr>
              <w:t>,687</w:t>
            </w:r>
            <w:r w:rsidR="009704BD" w:rsidRPr="00BC3F39">
              <w:rPr>
                <w:rFonts w:ascii="Tahoma" w:hAnsi="Tahoma" w:cs="Tahoma"/>
                <w:b/>
                <w:sz w:val="22"/>
                <w:szCs w:val="22"/>
              </w:rPr>
              <w:t xml:space="preserve"> millones de pesos</w:t>
            </w:r>
            <w:r w:rsidR="003F6007" w:rsidRPr="00BC3F39">
              <w:rPr>
                <w:rStyle w:val="Refdenotaalpie"/>
                <w:rFonts w:ascii="Tahoma" w:hAnsi="Tahoma" w:cs="Tahoma"/>
                <w:b/>
                <w:sz w:val="22"/>
                <w:szCs w:val="22"/>
              </w:rPr>
              <w:footnoteReference w:id="2"/>
            </w:r>
            <w:r w:rsidR="009704BD" w:rsidRPr="00BC3F39">
              <w:rPr>
                <w:rFonts w:ascii="Tahoma" w:hAnsi="Tahoma" w:cs="Tahoma"/>
                <w:b/>
                <w:sz w:val="22"/>
                <w:szCs w:val="22"/>
              </w:rPr>
              <w:t>.</w:t>
            </w:r>
            <w:r w:rsidR="009704BD" w:rsidRPr="00BC3F39">
              <w:rPr>
                <w:rFonts w:ascii="Tahoma" w:hAnsi="Tahoma" w:cs="Tahoma"/>
                <w:sz w:val="22"/>
                <w:szCs w:val="22"/>
              </w:rPr>
              <w:t xml:space="preserve"> Este monto </w:t>
            </w:r>
            <w:r w:rsidR="003F6007" w:rsidRPr="00BC3F39">
              <w:rPr>
                <w:rFonts w:ascii="Tahoma" w:hAnsi="Tahoma" w:cs="Tahoma"/>
                <w:sz w:val="22"/>
                <w:szCs w:val="22"/>
              </w:rPr>
              <w:t xml:space="preserve">objetivo </w:t>
            </w:r>
            <w:r w:rsidR="009704BD" w:rsidRPr="00BC3F39">
              <w:rPr>
                <w:rFonts w:ascii="Tahoma" w:hAnsi="Tahoma" w:cs="Tahoma"/>
                <w:sz w:val="22"/>
                <w:szCs w:val="22"/>
              </w:rPr>
              <w:t>deberá ser actualizado anualmente en enero de cada año</w:t>
            </w:r>
            <w:r w:rsidR="00C87AB7" w:rsidRPr="00BC3F39">
              <w:rPr>
                <w:rFonts w:ascii="Tahoma" w:hAnsi="Tahoma" w:cs="Tahoma"/>
                <w:sz w:val="22"/>
                <w:szCs w:val="22"/>
              </w:rPr>
              <w:t xml:space="preserve">, </w:t>
            </w:r>
            <w:r w:rsidR="009704BD" w:rsidRPr="00BC3F39">
              <w:rPr>
                <w:rFonts w:ascii="Tahoma" w:hAnsi="Tahoma" w:cs="Tahoma"/>
                <w:sz w:val="22"/>
                <w:szCs w:val="22"/>
              </w:rPr>
              <w:t xml:space="preserve">tomando en consideración las observaciones y </w:t>
            </w:r>
            <w:r w:rsidR="003F6007" w:rsidRPr="00BC3F39">
              <w:rPr>
                <w:rFonts w:ascii="Tahoma" w:hAnsi="Tahoma" w:cs="Tahoma"/>
                <w:sz w:val="22"/>
                <w:szCs w:val="22"/>
              </w:rPr>
              <w:t xml:space="preserve">la </w:t>
            </w:r>
            <w:r w:rsidR="009704BD" w:rsidRPr="00BC3F39">
              <w:rPr>
                <w:rFonts w:ascii="Tahoma" w:hAnsi="Tahoma" w:cs="Tahoma"/>
                <w:sz w:val="22"/>
                <w:szCs w:val="22"/>
              </w:rPr>
              <w:t xml:space="preserve">experiencia de la </w:t>
            </w:r>
            <w:r w:rsidR="00C87AB7" w:rsidRPr="00BC3F39">
              <w:rPr>
                <w:rFonts w:ascii="Tahoma" w:hAnsi="Tahoma" w:cs="Tahoma"/>
                <w:sz w:val="22"/>
                <w:szCs w:val="22"/>
              </w:rPr>
              <w:t>a</w:t>
            </w:r>
            <w:r w:rsidR="009704BD" w:rsidRPr="00BC3F39">
              <w:rPr>
                <w:rFonts w:ascii="Tahoma" w:hAnsi="Tahoma" w:cs="Tahoma"/>
                <w:sz w:val="22"/>
                <w:szCs w:val="22"/>
              </w:rPr>
              <w:t>dministración del año inmediato anterior</w:t>
            </w:r>
            <w:r w:rsidR="003F6007" w:rsidRPr="00BC3F39">
              <w:rPr>
                <w:rFonts w:ascii="Tahoma" w:hAnsi="Tahoma" w:cs="Tahoma"/>
                <w:sz w:val="22"/>
                <w:szCs w:val="22"/>
              </w:rPr>
              <w:t>, así como la proyección del flujo de efectivo que capture los objetivos del Instituto para el año entrante.</w:t>
            </w:r>
          </w:p>
          <w:p w:rsidR="00AA000C" w:rsidRPr="00BC3F39" w:rsidRDefault="00AA000C" w:rsidP="00CC46D1">
            <w:pPr>
              <w:spacing w:after="160"/>
              <w:jc w:val="both"/>
              <w:rPr>
                <w:rFonts w:ascii="Tahoma" w:hAnsi="Tahoma" w:cs="Tahoma"/>
                <w:sz w:val="22"/>
                <w:szCs w:val="22"/>
              </w:rPr>
            </w:pPr>
            <w:r w:rsidRPr="00BC3F39">
              <w:rPr>
                <w:rFonts w:ascii="Tahoma" w:hAnsi="Tahoma" w:cs="Tahoma"/>
                <w:sz w:val="22"/>
                <w:szCs w:val="22"/>
              </w:rPr>
              <w:t xml:space="preserve">Para el caso del </w:t>
            </w:r>
            <w:r w:rsidR="00774AF0" w:rsidRPr="00BC3F39">
              <w:rPr>
                <w:rFonts w:ascii="Tahoma" w:hAnsi="Tahoma" w:cs="Tahoma"/>
                <w:sz w:val="22"/>
                <w:szCs w:val="22"/>
              </w:rPr>
              <w:t xml:space="preserve">saldo </w:t>
            </w:r>
            <w:r w:rsidR="00CC705D" w:rsidRPr="00BC3F39">
              <w:rPr>
                <w:rFonts w:ascii="Tahoma" w:hAnsi="Tahoma" w:cs="Tahoma"/>
                <w:sz w:val="22"/>
                <w:szCs w:val="22"/>
              </w:rPr>
              <w:t>mínimo de caja</w:t>
            </w:r>
            <w:r w:rsidR="00774AF0" w:rsidRPr="00BC3F39">
              <w:rPr>
                <w:rFonts w:ascii="Tahoma" w:hAnsi="Tahoma" w:cs="Tahoma"/>
                <w:sz w:val="22"/>
                <w:szCs w:val="22"/>
              </w:rPr>
              <w:t>,</w:t>
            </w:r>
            <w:r w:rsidRPr="00BC3F39">
              <w:rPr>
                <w:rFonts w:ascii="Tahoma" w:hAnsi="Tahoma" w:cs="Tahoma"/>
                <w:sz w:val="22"/>
                <w:szCs w:val="22"/>
              </w:rPr>
              <w:t xml:space="preserve"> se deberá aplicar el mismo criterio de revisión anual.</w:t>
            </w:r>
          </w:p>
          <w:p w:rsidR="00D82469" w:rsidRPr="00BC3F39" w:rsidRDefault="00D82469" w:rsidP="00CC46D1">
            <w:pPr>
              <w:spacing w:after="160"/>
              <w:jc w:val="both"/>
              <w:rPr>
                <w:rFonts w:ascii="Tahoma" w:hAnsi="Tahoma" w:cs="Tahoma"/>
                <w:sz w:val="22"/>
                <w:szCs w:val="22"/>
              </w:rPr>
            </w:pPr>
            <w:r w:rsidRPr="00BC3F39">
              <w:rPr>
                <w:rFonts w:ascii="Tahoma" w:hAnsi="Tahoma" w:cs="Tahoma"/>
                <w:sz w:val="22"/>
                <w:szCs w:val="22"/>
              </w:rPr>
              <w:t xml:space="preserve">Una vez determinado el monto máximo </w:t>
            </w:r>
            <w:r w:rsidR="00CC705D" w:rsidRPr="00BC3F39">
              <w:rPr>
                <w:rFonts w:ascii="Tahoma" w:hAnsi="Tahoma" w:cs="Tahoma"/>
                <w:sz w:val="22"/>
                <w:szCs w:val="22"/>
              </w:rPr>
              <w:t xml:space="preserve">de recursos </w:t>
            </w:r>
            <w:r w:rsidRPr="00BC3F39">
              <w:rPr>
                <w:rFonts w:ascii="Tahoma" w:hAnsi="Tahoma" w:cs="Tahoma"/>
                <w:sz w:val="22"/>
                <w:szCs w:val="22"/>
              </w:rPr>
              <w:t>que deberá conservar</w:t>
            </w:r>
            <w:r w:rsidR="009E060D" w:rsidRPr="00BC3F39">
              <w:rPr>
                <w:rFonts w:ascii="Tahoma" w:hAnsi="Tahoma" w:cs="Tahoma"/>
                <w:sz w:val="22"/>
                <w:szCs w:val="22"/>
              </w:rPr>
              <w:t xml:space="preserve"> la Tesorería</w:t>
            </w:r>
            <w:r w:rsidRPr="00BC3F39">
              <w:rPr>
                <w:rFonts w:ascii="Tahoma" w:hAnsi="Tahoma" w:cs="Tahoma"/>
                <w:sz w:val="22"/>
                <w:szCs w:val="22"/>
              </w:rPr>
              <w:t xml:space="preserve"> </w:t>
            </w:r>
            <w:r w:rsidR="006D7DB8" w:rsidRPr="00BC3F39">
              <w:rPr>
                <w:rFonts w:ascii="Tahoma" w:hAnsi="Tahoma" w:cs="Tahoma"/>
                <w:sz w:val="22"/>
                <w:szCs w:val="22"/>
              </w:rPr>
              <w:t>durante</w:t>
            </w:r>
            <w:r w:rsidR="00CC705D" w:rsidRPr="00BC3F39">
              <w:rPr>
                <w:rFonts w:ascii="Tahoma" w:hAnsi="Tahoma" w:cs="Tahoma"/>
                <w:sz w:val="22"/>
                <w:szCs w:val="22"/>
              </w:rPr>
              <w:t xml:space="preserve"> todos los meses pare</w:t>
            </w:r>
            <w:r w:rsidRPr="00BC3F39">
              <w:rPr>
                <w:rFonts w:ascii="Tahoma" w:hAnsi="Tahoma" w:cs="Tahoma"/>
                <w:sz w:val="22"/>
                <w:szCs w:val="22"/>
              </w:rPr>
              <w:t xml:space="preserve">s, entonces el monto a transferir al </w:t>
            </w:r>
            <w:r w:rsidR="00602FA1">
              <w:rPr>
                <w:rFonts w:ascii="Tahoma" w:hAnsi="Tahoma" w:cs="Tahoma"/>
                <w:sz w:val="22"/>
                <w:szCs w:val="22"/>
              </w:rPr>
              <w:t>FANVIT</w:t>
            </w:r>
            <w:r w:rsidRPr="00BC3F39">
              <w:rPr>
                <w:rFonts w:ascii="Tahoma" w:hAnsi="Tahoma" w:cs="Tahoma"/>
                <w:sz w:val="22"/>
                <w:szCs w:val="22"/>
              </w:rPr>
              <w:t xml:space="preserve"> para el bimestre</w:t>
            </w:r>
            <w:r w:rsidR="009E060D" w:rsidRPr="00BC3F39">
              <w:rPr>
                <w:rFonts w:ascii="Tahoma" w:hAnsi="Tahoma" w:cs="Tahoma"/>
                <w:sz w:val="22"/>
                <w:szCs w:val="22"/>
              </w:rPr>
              <w:t>,</w:t>
            </w:r>
            <w:r w:rsidRPr="00BC3F39">
              <w:rPr>
                <w:rFonts w:ascii="Tahoma" w:hAnsi="Tahoma" w:cs="Tahoma"/>
                <w:sz w:val="22"/>
                <w:szCs w:val="22"/>
              </w:rPr>
              <w:t xml:space="preserve"> será el total de los recursos </w:t>
            </w:r>
            <w:r w:rsidR="009E060D" w:rsidRPr="00BC3F39">
              <w:rPr>
                <w:rFonts w:ascii="Tahoma" w:hAnsi="Tahoma" w:cs="Tahoma"/>
                <w:sz w:val="22"/>
                <w:szCs w:val="22"/>
              </w:rPr>
              <w:t xml:space="preserve">remanentes </w:t>
            </w:r>
            <w:r w:rsidRPr="00BC3F39">
              <w:rPr>
                <w:rFonts w:ascii="Tahoma" w:hAnsi="Tahoma" w:cs="Tahoma"/>
                <w:sz w:val="22"/>
                <w:szCs w:val="22"/>
              </w:rPr>
              <w:t xml:space="preserve">que tenga la Tesorería sobre el monto máximo </w:t>
            </w:r>
            <w:r w:rsidR="00CC705D" w:rsidRPr="00BC3F39">
              <w:rPr>
                <w:rFonts w:ascii="Tahoma" w:hAnsi="Tahoma" w:cs="Tahoma"/>
                <w:sz w:val="22"/>
                <w:szCs w:val="22"/>
              </w:rPr>
              <w:t xml:space="preserve">de recursos </w:t>
            </w:r>
            <w:r w:rsidRPr="00BC3F39">
              <w:rPr>
                <w:rFonts w:ascii="Tahoma" w:hAnsi="Tahoma" w:cs="Tahoma"/>
                <w:sz w:val="22"/>
                <w:szCs w:val="22"/>
              </w:rPr>
              <w:t xml:space="preserve">previamente definido. </w:t>
            </w:r>
          </w:p>
          <w:p w:rsidR="00A732B1" w:rsidRPr="00BC3F39" w:rsidRDefault="004E1C94" w:rsidP="00CC46D1">
            <w:pPr>
              <w:spacing w:after="160"/>
              <w:jc w:val="both"/>
              <w:rPr>
                <w:rFonts w:ascii="Tahoma" w:hAnsi="Tahoma" w:cs="Tahoma"/>
                <w:sz w:val="22"/>
                <w:szCs w:val="22"/>
              </w:rPr>
            </w:pPr>
            <w:r w:rsidRPr="00BC3F39">
              <w:rPr>
                <w:rFonts w:ascii="Tahoma" w:hAnsi="Tahoma" w:cs="Tahoma"/>
                <w:sz w:val="22"/>
                <w:szCs w:val="22"/>
              </w:rPr>
              <w:t xml:space="preserve">Lo anterior queda definido por la siguiente </w:t>
            </w:r>
            <w:r w:rsidR="007256A2" w:rsidRPr="00BC3F39">
              <w:rPr>
                <w:rFonts w:ascii="Tahoma" w:hAnsi="Tahoma" w:cs="Tahoma"/>
                <w:sz w:val="22"/>
                <w:szCs w:val="22"/>
              </w:rPr>
              <w:t>fórmula:</w:t>
            </w:r>
          </w:p>
          <w:p w:rsidR="000C304C" w:rsidRPr="00BC3F39" w:rsidRDefault="004069CF" w:rsidP="00CC46D1">
            <w:pPr>
              <w:spacing w:after="160"/>
              <w:jc w:val="both"/>
              <w:rPr>
                <w:rFonts w:ascii="Tahoma" w:hAnsi="Tahoma" w:cs="Tahoma"/>
                <w:sz w:val="22"/>
                <w:szCs w:val="22"/>
              </w:rPr>
            </w:pPr>
            <m:oMathPara>
              <m:oMath>
                <m:r>
                  <w:rPr>
                    <w:rFonts w:ascii="Cambria Math" w:hAnsi="Cambria Math" w:cs="Tahoma"/>
                    <w:sz w:val="22"/>
                    <w:szCs w:val="22"/>
                  </w:rPr>
                  <m:t>Monto de Transferencia=Máximo(</m:t>
                </m:r>
                <m:sSub>
                  <m:sSubPr>
                    <m:ctrlPr>
                      <w:rPr>
                        <w:rFonts w:ascii="Cambria Math" w:hAnsi="Cambria Math" w:cs="Tahoma"/>
                        <w:i/>
                        <w:sz w:val="22"/>
                        <w:szCs w:val="22"/>
                      </w:rPr>
                    </m:ctrlPr>
                  </m:sSubPr>
                  <m:e>
                    <m:r>
                      <w:rPr>
                        <w:rFonts w:ascii="Cambria Math" w:hAnsi="Cambria Math" w:cs="Tahoma"/>
                        <w:sz w:val="22"/>
                        <w:szCs w:val="22"/>
                      </w:rPr>
                      <m:t>RE</m:t>
                    </m:r>
                  </m:e>
                  <m:sub>
                    <m:r>
                      <w:rPr>
                        <w:rFonts w:ascii="Cambria Math" w:hAnsi="Cambria Math" w:cs="Tahoma"/>
                        <w:sz w:val="22"/>
                        <w:szCs w:val="22"/>
                      </w:rPr>
                      <m:t>T</m:t>
                    </m:r>
                  </m:sub>
                </m:sSub>
                <m:r>
                  <w:rPr>
                    <w:rFonts w:ascii="Cambria Math" w:hAnsi="Cambria Math" w:cs="Tahoma"/>
                    <w:sz w:val="22"/>
                    <w:szCs w:val="22"/>
                  </w:rPr>
                  <m:t>-</m:t>
                </m:r>
                <m:sSub>
                  <m:sSubPr>
                    <m:ctrlPr>
                      <w:rPr>
                        <w:rFonts w:ascii="Cambria Math" w:hAnsi="Cambria Math" w:cs="Tahoma"/>
                        <w:i/>
                        <w:sz w:val="22"/>
                        <w:szCs w:val="22"/>
                      </w:rPr>
                    </m:ctrlPr>
                  </m:sSubPr>
                  <m:e>
                    <m:r>
                      <w:rPr>
                        <w:rFonts w:ascii="Cambria Math" w:hAnsi="Cambria Math" w:cs="Tahoma"/>
                        <w:sz w:val="22"/>
                        <w:szCs w:val="22"/>
                      </w:rPr>
                      <m:t>MMax</m:t>
                    </m:r>
                  </m:e>
                  <m:sub>
                    <m:r>
                      <w:rPr>
                        <w:rFonts w:ascii="Cambria Math" w:hAnsi="Cambria Math" w:cs="Tahoma"/>
                        <w:sz w:val="22"/>
                        <w:szCs w:val="22"/>
                      </w:rPr>
                      <m:t>T</m:t>
                    </m:r>
                  </m:sub>
                </m:sSub>
                <m:r>
                  <w:rPr>
                    <w:rFonts w:ascii="Cambria Math" w:hAnsi="Cambria Math" w:cs="Tahoma"/>
                    <w:sz w:val="22"/>
                    <w:szCs w:val="22"/>
                  </w:rPr>
                  <m:t>;0)</m:t>
                </m:r>
              </m:oMath>
            </m:oMathPara>
          </w:p>
          <w:p w:rsidR="000C304C" w:rsidRPr="00BC3F39" w:rsidRDefault="004069CF" w:rsidP="00CC46D1">
            <w:pPr>
              <w:spacing w:after="160"/>
              <w:jc w:val="both"/>
              <w:rPr>
                <w:rFonts w:ascii="Tahoma" w:hAnsi="Tahoma" w:cs="Tahoma"/>
                <w:sz w:val="22"/>
                <w:szCs w:val="22"/>
              </w:rPr>
            </w:pPr>
            <w:r w:rsidRPr="00BC3F39">
              <w:rPr>
                <w:rFonts w:ascii="Tahoma" w:hAnsi="Tahoma" w:cs="Tahoma"/>
                <w:sz w:val="22"/>
                <w:szCs w:val="22"/>
              </w:rPr>
              <w:t>Donde:</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424"/>
              <w:gridCol w:w="6015"/>
            </w:tblGrid>
            <w:tr w:rsidR="00DA21B1" w:rsidRPr="00BC3F39" w:rsidTr="00CC46D1">
              <w:trPr>
                <w:trHeight w:val="624"/>
              </w:trPr>
              <w:tc>
                <w:tcPr>
                  <w:tcW w:w="1677"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Monto de Transferencia</w:t>
                  </w:r>
                </w:p>
              </w:tc>
              <w:tc>
                <w:tcPr>
                  <w:tcW w:w="426"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w:t>
                  </w:r>
                </w:p>
              </w:tc>
              <w:tc>
                <w:tcPr>
                  <w:tcW w:w="6216" w:type="dxa"/>
                  <w:vAlign w:val="center"/>
                </w:tcPr>
                <w:p w:rsidR="00DA21B1" w:rsidRPr="00BC3F39" w:rsidRDefault="00DA21B1" w:rsidP="003211E0">
                  <w:pPr>
                    <w:jc w:val="both"/>
                    <w:rPr>
                      <w:rFonts w:ascii="Tahoma" w:hAnsi="Tahoma" w:cs="Tahoma"/>
                      <w:sz w:val="22"/>
                      <w:szCs w:val="22"/>
                    </w:rPr>
                  </w:pPr>
                  <w:r w:rsidRPr="00BC3F39">
                    <w:rPr>
                      <w:rFonts w:ascii="Tahoma" w:hAnsi="Tahoma" w:cs="Tahoma"/>
                      <w:sz w:val="22"/>
                      <w:szCs w:val="22"/>
                    </w:rPr>
                    <w:t xml:space="preserve">Monto a Transferir de la </w:t>
                  </w:r>
                  <w:r w:rsidR="002C72A5" w:rsidRPr="00BC3F39">
                    <w:rPr>
                      <w:rFonts w:ascii="Tahoma" w:hAnsi="Tahoma" w:cs="Tahoma"/>
                      <w:sz w:val="22"/>
                      <w:szCs w:val="22"/>
                    </w:rPr>
                    <w:t>T</w:t>
                  </w:r>
                  <w:r w:rsidRPr="00BC3F39">
                    <w:rPr>
                      <w:rFonts w:ascii="Tahoma" w:hAnsi="Tahoma" w:cs="Tahoma"/>
                      <w:sz w:val="22"/>
                      <w:szCs w:val="22"/>
                    </w:rPr>
                    <w:t>esorería</w:t>
                  </w:r>
                  <w:r w:rsidR="006B44C9" w:rsidRPr="00BC3F39">
                    <w:rPr>
                      <w:rFonts w:ascii="Tahoma" w:hAnsi="Tahoma" w:cs="Tahoma"/>
                      <w:sz w:val="22"/>
                      <w:szCs w:val="22"/>
                    </w:rPr>
                    <w:t xml:space="preserve"> </w:t>
                  </w:r>
                  <w:r w:rsidRPr="00BC3F39">
                    <w:rPr>
                      <w:rFonts w:ascii="Tahoma" w:hAnsi="Tahoma" w:cs="Tahoma"/>
                      <w:sz w:val="22"/>
                      <w:szCs w:val="22"/>
                    </w:rPr>
                    <w:t xml:space="preserve">al </w:t>
                  </w:r>
                  <w:r w:rsidR="00602FA1">
                    <w:rPr>
                      <w:rFonts w:ascii="Tahoma" w:hAnsi="Tahoma" w:cs="Tahoma"/>
                      <w:sz w:val="22"/>
                      <w:szCs w:val="22"/>
                    </w:rPr>
                    <w:t>FANVIT</w:t>
                  </w:r>
                  <w:r w:rsidRPr="00BC3F39">
                    <w:rPr>
                      <w:rFonts w:ascii="Tahoma" w:hAnsi="Tahoma" w:cs="Tahoma"/>
                      <w:sz w:val="22"/>
                      <w:szCs w:val="22"/>
                    </w:rPr>
                    <w:t xml:space="preserve"> para el bimestr</w:t>
                  </w:r>
                  <w:r w:rsidR="00B263A2" w:rsidRPr="00BC3F39">
                    <w:rPr>
                      <w:rFonts w:ascii="Tahoma" w:hAnsi="Tahoma" w:cs="Tahoma"/>
                      <w:sz w:val="22"/>
                      <w:szCs w:val="22"/>
                    </w:rPr>
                    <w:t>e</w:t>
                  </w:r>
                  <w:r w:rsidRPr="00BC3F39">
                    <w:rPr>
                      <w:rFonts w:ascii="Tahoma" w:hAnsi="Tahoma" w:cs="Tahoma"/>
                      <w:sz w:val="22"/>
                      <w:szCs w:val="22"/>
                    </w:rPr>
                    <w:t xml:space="preserve"> del que se trate</w:t>
                  </w:r>
                </w:p>
              </w:tc>
            </w:tr>
            <w:tr w:rsidR="00DA21B1" w:rsidRPr="00BC3F39" w:rsidTr="00CC46D1">
              <w:trPr>
                <w:trHeight w:val="680"/>
              </w:trPr>
              <w:tc>
                <w:tcPr>
                  <w:tcW w:w="1677"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RE</w:t>
                  </w:r>
                  <w:r w:rsidRPr="00BC3F39">
                    <w:rPr>
                      <w:rFonts w:ascii="Tahoma" w:hAnsi="Tahoma" w:cs="Tahoma"/>
                      <w:sz w:val="22"/>
                      <w:szCs w:val="22"/>
                      <w:vertAlign w:val="subscript"/>
                    </w:rPr>
                    <w:t>T</w:t>
                  </w:r>
                </w:p>
              </w:tc>
              <w:tc>
                <w:tcPr>
                  <w:tcW w:w="426" w:type="dxa"/>
                  <w:vAlign w:val="center"/>
                </w:tcPr>
                <w:p w:rsidR="00DA21B1" w:rsidRPr="00BC3F39" w:rsidRDefault="004E1FC2" w:rsidP="004E1FC2">
                  <w:pPr>
                    <w:rPr>
                      <w:rFonts w:ascii="Tahoma" w:hAnsi="Tahoma" w:cs="Tahoma"/>
                      <w:sz w:val="22"/>
                      <w:szCs w:val="22"/>
                    </w:rPr>
                  </w:pPr>
                  <w:r w:rsidRPr="00BC3F39">
                    <w:rPr>
                      <w:rFonts w:ascii="Tahoma" w:hAnsi="Tahoma" w:cs="Tahoma"/>
                      <w:sz w:val="22"/>
                      <w:szCs w:val="22"/>
                    </w:rPr>
                    <w:t>=</w:t>
                  </w:r>
                </w:p>
              </w:tc>
              <w:tc>
                <w:tcPr>
                  <w:tcW w:w="6216" w:type="dxa"/>
                  <w:vAlign w:val="center"/>
                </w:tcPr>
                <w:p w:rsidR="00DA21B1" w:rsidRPr="00BC3F39" w:rsidRDefault="00D82469" w:rsidP="003211E0">
                  <w:pPr>
                    <w:jc w:val="both"/>
                    <w:rPr>
                      <w:rFonts w:ascii="Tahoma" w:hAnsi="Tahoma" w:cs="Tahoma"/>
                      <w:sz w:val="22"/>
                      <w:szCs w:val="22"/>
                    </w:rPr>
                  </w:pPr>
                  <w:r w:rsidRPr="00BC3F39">
                    <w:rPr>
                      <w:rFonts w:ascii="Tahoma" w:hAnsi="Tahoma" w:cs="Tahoma"/>
                      <w:sz w:val="22"/>
                      <w:szCs w:val="22"/>
                    </w:rPr>
                    <w:t xml:space="preserve">Recursos Existentes en la </w:t>
                  </w:r>
                  <w:r w:rsidR="0079619E" w:rsidRPr="00BC3F39">
                    <w:rPr>
                      <w:rFonts w:ascii="Tahoma" w:hAnsi="Tahoma" w:cs="Tahoma"/>
                      <w:sz w:val="22"/>
                      <w:szCs w:val="22"/>
                    </w:rPr>
                    <w:t>T</w:t>
                  </w:r>
                  <w:r w:rsidRPr="00BC3F39">
                    <w:rPr>
                      <w:rFonts w:ascii="Tahoma" w:hAnsi="Tahoma" w:cs="Tahoma"/>
                      <w:sz w:val="22"/>
                      <w:szCs w:val="22"/>
                    </w:rPr>
                    <w:t>esorería</w:t>
                  </w:r>
                  <w:r w:rsidR="0079619E" w:rsidRPr="00BC3F39">
                    <w:rPr>
                      <w:rFonts w:ascii="Tahoma" w:hAnsi="Tahoma" w:cs="Tahoma"/>
                      <w:sz w:val="22"/>
                      <w:szCs w:val="22"/>
                    </w:rPr>
                    <w:t xml:space="preserve"> </w:t>
                  </w:r>
                  <w:r w:rsidR="00EC1738" w:rsidRPr="00BC3F39">
                    <w:rPr>
                      <w:rFonts w:ascii="Tahoma" w:hAnsi="Tahoma" w:cs="Tahoma"/>
                      <w:sz w:val="22"/>
                      <w:szCs w:val="22"/>
                    </w:rPr>
                    <w:t>durante</w:t>
                  </w:r>
                  <w:r w:rsidRPr="00BC3F39">
                    <w:rPr>
                      <w:rFonts w:ascii="Tahoma" w:hAnsi="Tahoma" w:cs="Tahoma"/>
                      <w:sz w:val="22"/>
                      <w:szCs w:val="22"/>
                    </w:rPr>
                    <w:t xml:space="preserve"> </w:t>
                  </w:r>
                  <w:r w:rsidR="00EC1738" w:rsidRPr="00BC3F39">
                    <w:rPr>
                      <w:rFonts w:ascii="Tahoma" w:hAnsi="Tahoma" w:cs="Tahoma"/>
                      <w:sz w:val="22"/>
                      <w:szCs w:val="22"/>
                    </w:rPr>
                    <w:t xml:space="preserve">el </w:t>
                  </w:r>
                  <w:r w:rsidRPr="00BC3F39">
                    <w:rPr>
                      <w:rFonts w:ascii="Tahoma" w:hAnsi="Tahoma" w:cs="Tahoma"/>
                      <w:sz w:val="22"/>
                      <w:szCs w:val="22"/>
                    </w:rPr>
                    <w:t>mes 1 del bimestre</w:t>
                  </w:r>
                  <w:r w:rsidR="009C0B55" w:rsidRPr="00BC3F39">
                    <w:rPr>
                      <w:rFonts w:ascii="Tahoma" w:hAnsi="Tahoma" w:cs="Tahoma"/>
                      <w:sz w:val="22"/>
                      <w:szCs w:val="22"/>
                    </w:rPr>
                    <w:t xml:space="preserve"> T</w:t>
                  </w:r>
                </w:p>
              </w:tc>
            </w:tr>
            <w:tr w:rsidR="00DA21B1" w:rsidRPr="00BC3F39" w:rsidTr="00CC46D1">
              <w:trPr>
                <w:trHeight w:val="680"/>
              </w:trPr>
              <w:tc>
                <w:tcPr>
                  <w:tcW w:w="1677" w:type="dxa"/>
                  <w:vAlign w:val="center"/>
                </w:tcPr>
                <w:p w:rsidR="00DA21B1" w:rsidRPr="00BC3F39" w:rsidRDefault="00DA21B1" w:rsidP="004E1FC2">
                  <w:pPr>
                    <w:rPr>
                      <w:rFonts w:ascii="Tahoma" w:hAnsi="Tahoma" w:cs="Tahoma"/>
                      <w:sz w:val="22"/>
                      <w:szCs w:val="22"/>
                    </w:rPr>
                  </w:pPr>
                  <w:r w:rsidRPr="00BC3F39">
                    <w:rPr>
                      <w:rFonts w:ascii="Tahoma" w:hAnsi="Tahoma" w:cs="Tahoma"/>
                      <w:sz w:val="22"/>
                      <w:szCs w:val="22"/>
                    </w:rPr>
                    <w:t>MMax</w:t>
                  </w:r>
                  <w:r w:rsidRPr="00BC3F39">
                    <w:rPr>
                      <w:rFonts w:ascii="Tahoma" w:hAnsi="Tahoma" w:cs="Tahoma"/>
                      <w:sz w:val="22"/>
                      <w:szCs w:val="22"/>
                      <w:vertAlign w:val="subscript"/>
                    </w:rPr>
                    <w:t>T</w:t>
                  </w:r>
                </w:p>
              </w:tc>
              <w:tc>
                <w:tcPr>
                  <w:tcW w:w="426" w:type="dxa"/>
                  <w:vAlign w:val="center"/>
                </w:tcPr>
                <w:p w:rsidR="00DA21B1" w:rsidRPr="00BC3F39" w:rsidRDefault="004E1FC2" w:rsidP="004E1FC2">
                  <w:pPr>
                    <w:rPr>
                      <w:rFonts w:ascii="Tahoma" w:hAnsi="Tahoma" w:cs="Tahoma"/>
                      <w:sz w:val="22"/>
                      <w:szCs w:val="22"/>
                    </w:rPr>
                  </w:pPr>
                  <w:r w:rsidRPr="00BC3F39">
                    <w:rPr>
                      <w:rFonts w:ascii="Tahoma" w:hAnsi="Tahoma" w:cs="Tahoma"/>
                      <w:sz w:val="22"/>
                      <w:szCs w:val="22"/>
                    </w:rPr>
                    <w:t>=</w:t>
                  </w:r>
                </w:p>
              </w:tc>
              <w:tc>
                <w:tcPr>
                  <w:tcW w:w="6216" w:type="dxa"/>
                  <w:vAlign w:val="center"/>
                </w:tcPr>
                <w:p w:rsidR="00DA21B1" w:rsidRPr="00BC3F39" w:rsidRDefault="00D82469" w:rsidP="003211E0">
                  <w:pPr>
                    <w:jc w:val="both"/>
                    <w:rPr>
                      <w:rFonts w:ascii="Tahoma" w:hAnsi="Tahoma" w:cs="Tahoma"/>
                      <w:sz w:val="22"/>
                      <w:szCs w:val="22"/>
                    </w:rPr>
                  </w:pPr>
                  <w:r w:rsidRPr="00BC3F39">
                    <w:rPr>
                      <w:rFonts w:ascii="Tahoma" w:hAnsi="Tahoma" w:cs="Tahoma"/>
                      <w:sz w:val="22"/>
                      <w:szCs w:val="22"/>
                    </w:rPr>
                    <w:t>Monto Máximo definido para conservar en la Tesorería</w:t>
                  </w:r>
                  <w:r w:rsidR="0079619E" w:rsidRPr="00BC3F39">
                    <w:rPr>
                      <w:rFonts w:ascii="Tahoma" w:hAnsi="Tahoma" w:cs="Tahoma"/>
                      <w:sz w:val="22"/>
                      <w:szCs w:val="22"/>
                    </w:rPr>
                    <w:t xml:space="preserve"> </w:t>
                  </w:r>
                  <w:r w:rsidR="00EC1738" w:rsidRPr="00BC3F39">
                    <w:rPr>
                      <w:rFonts w:ascii="Tahoma" w:hAnsi="Tahoma" w:cs="Tahoma"/>
                      <w:sz w:val="22"/>
                      <w:szCs w:val="22"/>
                    </w:rPr>
                    <w:t>durante el</w:t>
                  </w:r>
                  <w:r w:rsidRPr="00BC3F39">
                    <w:rPr>
                      <w:rFonts w:ascii="Tahoma" w:hAnsi="Tahoma" w:cs="Tahoma"/>
                      <w:sz w:val="22"/>
                      <w:szCs w:val="22"/>
                    </w:rPr>
                    <w:t xml:space="preserve"> mes 1 del bimestre</w:t>
                  </w:r>
                  <w:r w:rsidR="009C0B55" w:rsidRPr="00BC3F39">
                    <w:rPr>
                      <w:rFonts w:ascii="Tahoma" w:hAnsi="Tahoma" w:cs="Tahoma"/>
                      <w:sz w:val="22"/>
                      <w:szCs w:val="22"/>
                    </w:rPr>
                    <w:t xml:space="preserve"> T</w:t>
                  </w:r>
                </w:p>
              </w:tc>
            </w:tr>
          </w:tbl>
          <w:p w:rsidR="007A11B4" w:rsidRPr="00BC3F39" w:rsidRDefault="00942D34" w:rsidP="00CC46D1">
            <w:pPr>
              <w:spacing w:after="160"/>
              <w:jc w:val="both"/>
              <w:rPr>
                <w:rFonts w:ascii="Tahoma" w:hAnsi="Tahoma" w:cs="Tahoma"/>
                <w:sz w:val="22"/>
                <w:szCs w:val="22"/>
              </w:rPr>
            </w:pPr>
            <w:r w:rsidRPr="00BC3F39">
              <w:rPr>
                <w:rFonts w:ascii="Tahoma" w:hAnsi="Tahoma" w:cs="Tahoma"/>
                <w:sz w:val="22"/>
                <w:szCs w:val="22"/>
              </w:rPr>
              <w:t>Con el fin de generar registros y cálculos fáciles de identificar</w:t>
            </w:r>
            <w:r w:rsidR="00832BF1" w:rsidRPr="00BC3F39">
              <w:rPr>
                <w:rFonts w:ascii="Tahoma" w:hAnsi="Tahoma" w:cs="Tahoma"/>
                <w:sz w:val="22"/>
                <w:szCs w:val="22"/>
              </w:rPr>
              <w:t xml:space="preserve"> en la administración y contabilidad del Instituto</w:t>
            </w:r>
            <w:r w:rsidRPr="00BC3F39">
              <w:rPr>
                <w:rFonts w:ascii="Tahoma" w:hAnsi="Tahoma" w:cs="Tahoma"/>
                <w:sz w:val="22"/>
                <w:szCs w:val="22"/>
              </w:rPr>
              <w:t xml:space="preserve">, a discreción de la </w:t>
            </w:r>
            <w:r w:rsidR="00CE2AB7" w:rsidRPr="00BC3F39">
              <w:rPr>
                <w:rFonts w:ascii="Tahoma" w:hAnsi="Tahoma" w:cs="Tahoma"/>
                <w:sz w:val="22"/>
                <w:szCs w:val="22"/>
              </w:rPr>
              <w:t>A</w:t>
            </w:r>
            <w:r w:rsidRPr="00BC3F39">
              <w:rPr>
                <w:rFonts w:ascii="Tahoma" w:hAnsi="Tahoma" w:cs="Tahoma"/>
                <w:sz w:val="22"/>
                <w:szCs w:val="22"/>
              </w:rPr>
              <w:t>dministración podrá redondearse hasta por 500 millones de pesos a la baja el resultado de la fórmula anterior.</w:t>
            </w:r>
          </w:p>
          <w:p w:rsidR="00942D34" w:rsidRPr="00BC3F39" w:rsidRDefault="00EB394A" w:rsidP="00CC46D1">
            <w:pPr>
              <w:spacing w:after="160"/>
              <w:jc w:val="both"/>
              <w:rPr>
                <w:rFonts w:ascii="Tahoma" w:hAnsi="Tahoma" w:cs="Tahoma"/>
                <w:sz w:val="22"/>
                <w:szCs w:val="22"/>
              </w:rPr>
            </w:pPr>
            <w:r w:rsidRPr="00BC3F39">
              <w:rPr>
                <w:rFonts w:ascii="Tahoma" w:hAnsi="Tahoma" w:cs="Tahoma"/>
                <w:sz w:val="22"/>
                <w:szCs w:val="22"/>
              </w:rPr>
              <w:t xml:space="preserve">Esta </w:t>
            </w:r>
            <w:r w:rsidR="00A07246" w:rsidRPr="00BC3F39">
              <w:rPr>
                <w:rFonts w:ascii="Tahoma" w:hAnsi="Tahoma" w:cs="Tahoma"/>
                <w:sz w:val="22"/>
                <w:szCs w:val="22"/>
              </w:rPr>
              <w:t>oportunidad de redondeo a la baja</w:t>
            </w:r>
            <w:r w:rsidR="00A566AD" w:rsidRPr="00BC3F39">
              <w:rPr>
                <w:rFonts w:ascii="Tahoma" w:hAnsi="Tahoma" w:cs="Tahoma"/>
                <w:sz w:val="22"/>
                <w:szCs w:val="22"/>
              </w:rPr>
              <w:t>,</w:t>
            </w:r>
            <w:r w:rsidR="00A07246" w:rsidRPr="00BC3F39">
              <w:rPr>
                <w:rFonts w:ascii="Tahoma" w:hAnsi="Tahoma" w:cs="Tahoma"/>
                <w:sz w:val="22"/>
                <w:szCs w:val="22"/>
              </w:rPr>
              <w:t xml:space="preserve"> </w:t>
            </w:r>
            <w:r w:rsidR="007A4332" w:rsidRPr="00BC3F39">
              <w:rPr>
                <w:rFonts w:ascii="Tahoma" w:hAnsi="Tahoma" w:cs="Tahoma"/>
                <w:sz w:val="22"/>
                <w:szCs w:val="22"/>
              </w:rPr>
              <w:t>también está pensada para dar un pequeño margen adicional</w:t>
            </w:r>
            <w:r w:rsidR="00A07246" w:rsidRPr="00BC3F39">
              <w:rPr>
                <w:rFonts w:ascii="Tahoma" w:hAnsi="Tahoma" w:cs="Tahoma"/>
                <w:sz w:val="22"/>
                <w:szCs w:val="22"/>
              </w:rPr>
              <w:t xml:space="preserve"> de liquidez</w:t>
            </w:r>
            <w:r w:rsidR="007A4332" w:rsidRPr="00BC3F39">
              <w:rPr>
                <w:rFonts w:ascii="Tahoma" w:hAnsi="Tahoma" w:cs="Tahoma"/>
                <w:sz w:val="22"/>
                <w:szCs w:val="22"/>
              </w:rPr>
              <w:t xml:space="preserve"> a la </w:t>
            </w:r>
            <w:r w:rsidR="00CE2FCC" w:rsidRPr="00BC3F39">
              <w:rPr>
                <w:rFonts w:ascii="Tahoma" w:hAnsi="Tahoma" w:cs="Tahoma"/>
                <w:sz w:val="22"/>
                <w:szCs w:val="22"/>
              </w:rPr>
              <w:t>T</w:t>
            </w:r>
            <w:r w:rsidR="007A4332" w:rsidRPr="00BC3F39">
              <w:rPr>
                <w:rFonts w:ascii="Tahoma" w:hAnsi="Tahoma" w:cs="Tahoma"/>
                <w:sz w:val="22"/>
                <w:szCs w:val="22"/>
              </w:rPr>
              <w:t>esorería</w:t>
            </w:r>
            <w:r w:rsidR="00CE2FCC" w:rsidRPr="00BC3F39">
              <w:rPr>
                <w:rFonts w:ascii="Tahoma" w:hAnsi="Tahoma" w:cs="Tahoma"/>
                <w:sz w:val="22"/>
                <w:szCs w:val="22"/>
              </w:rPr>
              <w:t xml:space="preserve"> </w:t>
            </w:r>
            <w:r w:rsidR="00A07246" w:rsidRPr="00BC3F39">
              <w:rPr>
                <w:rFonts w:ascii="Tahoma" w:hAnsi="Tahoma" w:cs="Tahoma"/>
                <w:sz w:val="22"/>
                <w:szCs w:val="22"/>
              </w:rPr>
              <w:t xml:space="preserve">en los casos que </w:t>
            </w:r>
            <w:r w:rsidR="00CE2FCC" w:rsidRPr="00BC3F39">
              <w:rPr>
                <w:rFonts w:ascii="Tahoma" w:hAnsi="Tahoma" w:cs="Tahoma"/>
                <w:sz w:val="22"/>
                <w:szCs w:val="22"/>
              </w:rPr>
              <w:t>as</w:t>
            </w:r>
            <w:r w:rsidR="005D73B1" w:rsidRPr="00BC3F39">
              <w:rPr>
                <w:rFonts w:ascii="Tahoma" w:hAnsi="Tahoma" w:cs="Tahoma"/>
                <w:sz w:val="22"/>
                <w:szCs w:val="22"/>
              </w:rPr>
              <w:t>í lo consider</w:t>
            </w:r>
            <w:r w:rsidR="00A07246" w:rsidRPr="00BC3F39">
              <w:rPr>
                <w:rFonts w:ascii="Tahoma" w:hAnsi="Tahoma" w:cs="Tahoma"/>
                <w:sz w:val="22"/>
                <w:szCs w:val="22"/>
              </w:rPr>
              <w:t>e</w:t>
            </w:r>
            <w:r w:rsidR="00CE2FCC" w:rsidRPr="00BC3F39">
              <w:rPr>
                <w:rFonts w:ascii="Tahoma" w:hAnsi="Tahoma" w:cs="Tahoma"/>
                <w:sz w:val="22"/>
                <w:szCs w:val="22"/>
              </w:rPr>
              <w:t xml:space="preserve"> conveniente la </w:t>
            </w:r>
            <w:r w:rsidR="00CE2AB7" w:rsidRPr="00BC3F39">
              <w:rPr>
                <w:rFonts w:ascii="Tahoma" w:hAnsi="Tahoma" w:cs="Tahoma"/>
                <w:sz w:val="22"/>
                <w:szCs w:val="22"/>
              </w:rPr>
              <w:t>A</w:t>
            </w:r>
            <w:r w:rsidR="00CE2FCC" w:rsidRPr="00BC3F39">
              <w:rPr>
                <w:rFonts w:ascii="Tahoma" w:hAnsi="Tahoma" w:cs="Tahoma"/>
                <w:sz w:val="22"/>
                <w:szCs w:val="22"/>
              </w:rPr>
              <w:t>dministración.</w:t>
            </w:r>
          </w:p>
          <w:p w:rsidR="00A732B1" w:rsidRPr="00BC3F39" w:rsidRDefault="00942D34" w:rsidP="00CC46D1">
            <w:pPr>
              <w:jc w:val="both"/>
              <w:rPr>
                <w:rFonts w:ascii="Tahoma" w:hAnsi="Tahoma" w:cs="Tahoma"/>
                <w:sz w:val="22"/>
                <w:szCs w:val="22"/>
              </w:rPr>
            </w:pPr>
            <w:r w:rsidRPr="00BC3F39">
              <w:rPr>
                <w:rFonts w:ascii="Tahoma" w:hAnsi="Tahoma" w:cs="Tahoma"/>
                <w:sz w:val="22"/>
                <w:szCs w:val="22"/>
              </w:rPr>
              <w:t>Ejemplos</w:t>
            </w:r>
            <w:r w:rsidR="006815D9" w:rsidRPr="00BC3F39">
              <w:rPr>
                <w:rFonts w:ascii="Tahoma" w:hAnsi="Tahoma" w:cs="Tahoma"/>
                <w:sz w:val="22"/>
                <w:szCs w:val="22"/>
              </w:rPr>
              <w:t xml:space="preserve"> de</w:t>
            </w:r>
            <w:r w:rsidR="009F212D" w:rsidRPr="00BC3F39">
              <w:rPr>
                <w:rFonts w:ascii="Tahoma" w:hAnsi="Tahoma" w:cs="Tahoma"/>
                <w:sz w:val="22"/>
                <w:szCs w:val="22"/>
              </w:rPr>
              <w:t xml:space="preserve"> </w:t>
            </w:r>
            <w:r w:rsidR="006815D9" w:rsidRPr="00BC3F39">
              <w:rPr>
                <w:rFonts w:ascii="Tahoma" w:hAnsi="Tahoma" w:cs="Tahoma"/>
                <w:sz w:val="22"/>
                <w:szCs w:val="22"/>
              </w:rPr>
              <w:t>redondeo a la baja</w:t>
            </w:r>
            <w:r w:rsidR="009F212D" w:rsidRPr="00BC3F39">
              <w:rPr>
                <w:rFonts w:ascii="Tahoma" w:hAnsi="Tahoma" w:cs="Tahoma"/>
                <w:sz w:val="22"/>
                <w:szCs w:val="22"/>
              </w:rPr>
              <w:t xml:space="preserve"> </w:t>
            </w:r>
            <w:r w:rsidR="001C44DF" w:rsidRPr="00BC3F39">
              <w:rPr>
                <w:rFonts w:ascii="Tahoma" w:hAnsi="Tahoma" w:cs="Tahoma"/>
                <w:sz w:val="22"/>
                <w:szCs w:val="22"/>
              </w:rPr>
              <w:t xml:space="preserve">por </w:t>
            </w:r>
            <w:r w:rsidR="009F212D" w:rsidRPr="00BC3F39">
              <w:rPr>
                <w:rFonts w:ascii="Tahoma" w:hAnsi="Tahoma" w:cs="Tahoma"/>
                <w:sz w:val="22"/>
                <w:szCs w:val="22"/>
              </w:rPr>
              <w:t>hasta por 500 millones de pesos</w:t>
            </w:r>
            <w:r w:rsidRPr="00BC3F39">
              <w:rPr>
                <w:rFonts w:ascii="Tahoma" w:hAnsi="Tahoma" w:cs="Tahoma"/>
                <w:sz w:val="22"/>
                <w:szCs w:val="22"/>
              </w:rPr>
              <w:t>:</w:t>
            </w:r>
          </w:p>
          <w:p w:rsidR="00942D34" w:rsidRPr="00BC3F39" w:rsidRDefault="00942D34" w:rsidP="00CC46D1">
            <w:pPr>
              <w:pStyle w:val="Prrafodelista"/>
              <w:numPr>
                <w:ilvl w:val="0"/>
                <w:numId w:val="26"/>
              </w:numPr>
              <w:spacing w:after="0" w:line="240" w:lineRule="auto"/>
              <w:ind w:left="544" w:hanging="357"/>
              <w:contextualSpacing w:val="0"/>
              <w:jc w:val="both"/>
              <w:rPr>
                <w:rFonts w:ascii="Tahoma" w:hAnsi="Tahoma" w:cs="Tahoma"/>
              </w:rPr>
            </w:pPr>
            <w:r w:rsidRPr="00BC3F39">
              <w:rPr>
                <w:rFonts w:ascii="Tahoma" w:hAnsi="Tahoma" w:cs="Tahoma"/>
              </w:rPr>
              <w:t>Monto de Transferencia = 3,820 mdp, podría ser redondeado a la baja a 3,800</w:t>
            </w:r>
            <w:r w:rsidR="00CC46D1">
              <w:rPr>
                <w:rFonts w:ascii="Tahoma" w:hAnsi="Tahoma" w:cs="Tahoma"/>
              </w:rPr>
              <w:t>.</w:t>
            </w:r>
          </w:p>
          <w:p w:rsidR="00942D34" w:rsidRPr="00BC3F39" w:rsidRDefault="00942D34" w:rsidP="00CC46D1">
            <w:pPr>
              <w:pStyle w:val="Prrafodelista"/>
              <w:numPr>
                <w:ilvl w:val="0"/>
                <w:numId w:val="26"/>
              </w:numPr>
              <w:spacing w:after="0" w:line="240" w:lineRule="auto"/>
              <w:ind w:left="544" w:hanging="357"/>
              <w:contextualSpacing w:val="0"/>
              <w:jc w:val="both"/>
              <w:rPr>
                <w:rFonts w:ascii="Tahoma" w:hAnsi="Tahoma" w:cs="Tahoma"/>
              </w:rPr>
            </w:pPr>
            <w:r w:rsidRPr="00BC3F39">
              <w:rPr>
                <w:rFonts w:ascii="Tahoma" w:hAnsi="Tahoma" w:cs="Tahoma"/>
              </w:rPr>
              <w:t>Monto de Transferencia = 3,820 mdp, podría ser redondeado a la baja a 3,500</w:t>
            </w:r>
            <w:r w:rsidR="00CC46D1">
              <w:rPr>
                <w:rFonts w:ascii="Tahoma" w:hAnsi="Tahoma" w:cs="Tahoma"/>
              </w:rPr>
              <w:t>.</w:t>
            </w:r>
          </w:p>
          <w:p w:rsidR="00657C55" w:rsidRPr="00BC3F39" w:rsidRDefault="001E05C6" w:rsidP="00CC46D1">
            <w:pPr>
              <w:pStyle w:val="Prrafodelista"/>
              <w:numPr>
                <w:ilvl w:val="0"/>
                <w:numId w:val="26"/>
              </w:numPr>
              <w:spacing w:after="160" w:line="240" w:lineRule="auto"/>
              <w:ind w:left="544" w:hanging="357"/>
              <w:contextualSpacing w:val="0"/>
              <w:jc w:val="both"/>
              <w:rPr>
                <w:rFonts w:ascii="Tahoma" w:hAnsi="Tahoma" w:cs="Tahoma"/>
              </w:rPr>
            </w:pPr>
            <w:r w:rsidRPr="00BC3F39">
              <w:rPr>
                <w:rFonts w:ascii="Tahoma" w:hAnsi="Tahoma" w:cs="Tahoma"/>
              </w:rPr>
              <w:t xml:space="preserve">El </w:t>
            </w:r>
            <w:r w:rsidR="00D823CB" w:rsidRPr="00BC3F39">
              <w:rPr>
                <w:rFonts w:ascii="Tahoma" w:hAnsi="Tahoma" w:cs="Tahoma"/>
              </w:rPr>
              <w:t>Monto de Transferencia</w:t>
            </w:r>
            <w:r w:rsidR="00657C55" w:rsidRPr="00BC3F39">
              <w:rPr>
                <w:rFonts w:ascii="Tahoma" w:hAnsi="Tahoma" w:cs="Tahoma"/>
              </w:rPr>
              <w:t xml:space="preserve"> No podría ser </w:t>
            </w:r>
            <w:r w:rsidR="00D823CB" w:rsidRPr="00BC3F39">
              <w:rPr>
                <w:rFonts w:ascii="Tahoma" w:hAnsi="Tahoma" w:cs="Tahoma"/>
              </w:rPr>
              <w:t xml:space="preserve">redondeado a un monto </w:t>
            </w:r>
            <w:r w:rsidR="00657C55" w:rsidRPr="00BC3F39">
              <w:rPr>
                <w:rFonts w:ascii="Tahoma" w:hAnsi="Tahoma" w:cs="Tahoma"/>
              </w:rPr>
              <w:t xml:space="preserve">inferior </w:t>
            </w:r>
            <w:r w:rsidR="00D823CB" w:rsidRPr="00BC3F39">
              <w:rPr>
                <w:rFonts w:ascii="Tahoma" w:hAnsi="Tahoma" w:cs="Tahoma"/>
              </w:rPr>
              <w:t xml:space="preserve">a </w:t>
            </w:r>
            <w:r w:rsidR="00657C55" w:rsidRPr="00BC3F39">
              <w:rPr>
                <w:rFonts w:ascii="Tahoma" w:hAnsi="Tahoma" w:cs="Tahoma"/>
              </w:rPr>
              <w:t>3,320</w:t>
            </w:r>
            <w:r w:rsidR="00CC46D1">
              <w:rPr>
                <w:rFonts w:ascii="Tahoma" w:hAnsi="Tahoma" w:cs="Tahoma"/>
              </w:rPr>
              <w:t>.</w:t>
            </w:r>
          </w:p>
          <w:p w:rsidR="00A732B1" w:rsidRPr="00BC3F39" w:rsidRDefault="00A732B1" w:rsidP="00CC46D1">
            <w:pPr>
              <w:pStyle w:val="Prrafodelista"/>
              <w:numPr>
                <w:ilvl w:val="0"/>
                <w:numId w:val="32"/>
              </w:numPr>
              <w:spacing w:after="160"/>
              <w:ind w:left="453" w:hanging="377"/>
              <w:contextualSpacing w:val="0"/>
              <w:jc w:val="both"/>
              <w:rPr>
                <w:rFonts w:ascii="Tahoma" w:hAnsi="Tahoma" w:cs="Tahoma"/>
                <w:b/>
                <w:u w:val="single"/>
              </w:rPr>
            </w:pPr>
            <w:r w:rsidRPr="00BC3F39">
              <w:rPr>
                <w:rFonts w:ascii="Tahoma" w:hAnsi="Tahoma" w:cs="Tahoma"/>
                <w:b/>
                <w:u w:val="single"/>
              </w:rPr>
              <w:t xml:space="preserve">Respecto de la periodicidad con la que deberán hacerse las </w:t>
            </w:r>
            <w:r w:rsidR="00900655" w:rsidRPr="00BC3F39">
              <w:rPr>
                <w:rFonts w:ascii="Tahoma" w:hAnsi="Tahoma" w:cs="Tahoma"/>
                <w:b/>
                <w:u w:val="single"/>
              </w:rPr>
              <w:t>transferencias</w:t>
            </w:r>
            <w:r w:rsidRPr="00BC3F39">
              <w:rPr>
                <w:rFonts w:ascii="Tahoma" w:hAnsi="Tahoma" w:cs="Tahoma"/>
                <w:b/>
                <w:u w:val="single"/>
              </w:rPr>
              <w:t xml:space="preserve"> </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t xml:space="preserve">Una vez que hubiese cerrado el mes non del bimestre del que se trate (mes 1 del bimestre), se podrá entonces definir el monto a transferir de la Tesorería al </w:t>
            </w:r>
            <w:r w:rsidR="00602FA1">
              <w:rPr>
                <w:rFonts w:ascii="Tahoma" w:hAnsi="Tahoma" w:cs="Tahoma"/>
                <w:sz w:val="22"/>
                <w:szCs w:val="22"/>
              </w:rPr>
              <w:t>FANVIT</w:t>
            </w:r>
            <w:r w:rsidRPr="00BC3F39">
              <w:rPr>
                <w:rFonts w:ascii="Tahoma" w:hAnsi="Tahoma" w:cs="Tahoma"/>
                <w:sz w:val="22"/>
                <w:szCs w:val="22"/>
              </w:rPr>
              <w:t>; esta transferencia deberá realizarse en cualquier momento durante la primera quincena del mes inmediato siguiente (mes 2 del bimestre).</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lastRenderedPageBreak/>
              <w:t xml:space="preserve">La transferencia podrá hacerse en una </w:t>
            </w:r>
            <w:r w:rsidR="004652A0" w:rsidRPr="00BC3F39">
              <w:rPr>
                <w:rFonts w:ascii="Tahoma" w:hAnsi="Tahoma" w:cs="Tahoma"/>
                <w:sz w:val="22"/>
                <w:szCs w:val="22"/>
              </w:rPr>
              <w:t>o</w:t>
            </w:r>
            <w:r w:rsidRPr="00BC3F39">
              <w:rPr>
                <w:rFonts w:ascii="Tahoma" w:hAnsi="Tahoma" w:cs="Tahoma"/>
                <w:sz w:val="22"/>
                <w:szCs w:val="22"/>
              </w:rPr>
              <w:t xml:space="preserve"> más exhibiciones.</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t>El periodo de hasta quince días adicionales a</w:t>
            </w:r>
            <w:r w:rsidR="00D43593" w:rsidRPr="00BC3F39">
              <w:rPr>
                <w:rFonts w:ascii="Tahoma" w:hAnsi="Tahoma" w:cs="Tahoma"/>
                <w:sz w:val="22"/>
                <w:szCs w:val="22"/>
              </w:rPr>
              <w:t>l cierre del mes non del bimestre</w:t>
            </w:r>
            <w:r w:rsidRPr="00BC3F39">
              <w:rPr>
                <w:rFonts w:ascii="Tahoma" w:hAnsi="Tahoma" w:cs="Tahoma"/>
                <w:sz w:val="22"/>
                <w:szCs w:val="22"/>
              </w:rPr>
              <w:t xml:space="preserve">, se ha definido considerando un margen de seguridad para la liquidez de la Tesorería, </w:t>
            </w:r>
            <w:r w:rsidR="003211E0" w:rsidRPr="00BC3F39">
              <w:rPr>
                <w:rFonts w:ascii="Tahoma" w:hAnsi="Tahoma" w:cs="Tahoma"/>
                <w:sz w:val="22"/>
                <w:szCs w:val="22"/>
              </w:rPr>
              <w:t>ya que,</w:t>
            </w:r>
            <w:r w:rsidRPr="00BC3F39">
              <w:rPr>
                <w:rFonts w:ascii="Tahoma" w:hAnsi="Tahoma" w:cs="Tahoma"/>
                <w:sz w:val="22"/>
                <w:szCs w:val="22"/>
              </w:rPr>
              <w:t xml:space="preserve"> en los meses pares de cada bimestre, el Instituto hace la entrega de los montos de las mensualidades de los créditos que cobra a nombre de las instituciones financieras terceras como lo son los créditos </w:t>
            </w:r>
            <w:r w:rsidR="00602FA1">
              <w:rPr>
                <w:rFonts w:ascii="Tahoma" w:hAnsi="Tahoma" w:cs="Tahoma"/>
                <w:sz w:val="22"/>
                <w:szCs w:val="22"/>
              </w:rPr>
              <w:t>INFONAVIT</w:t>
            </w:r>
            <w:r w:rsidRPr="00BC3F39">
              <w:rPr>
                <w:rFonts w:ascii="Tahoma" w:hAnsi="Tahoma" w:cs="Tahoma"/>
                <w:sz w:val="22"/>
                <w:szCs w:val="22"/>
              </w:rPr>
              <w:t>-Total, Segundo crédito, Cedevis y Mejoravit.</w:t>
            </w:r>
          </w:p>
          <w:p w:rsidR="00344519" w:rsidRPr="00BC3F39" w:rsidRDefault="00344519" w:rsidP="00CC46D1">
            <w:pPr>
              <w:spacing w:after="160"/>
              <w:jc w:val="both"/>
              <w:rPr>
                <w:rFonts w:ascii="Tahoma" w:hAnsi="Tahoma" w:cs="Tahoma"/>
                <w:sz w:val="22"/>
                <w:szCs w:val="22"/>
              </w:rPr>
            </w:pPr>
            <w:r w:rsidRPr="00BC3F39">
              <w:rPr>
                <w:rFonts w:ascii="Tahoma" w:hAnsi="Tahoma" w:cs="Tahoma"/>
                <w:sz w:val="22"/>
                <w:szCs w:val="22"/>
              </w:rPr>
              <w:t xml:space="preserve">Considerando lo anterior, hacer las transferencias de la Tesorería al </w:t>
            </w:r>
            <w:r w:rsidR="00602FA1">
              <w:rPr>
                <w:rFonts w:ascii="Tahoma" w:hAnsi="Tahoma" w:cs="Tahoma"/>
                <w:sz w:val="22"/>
                <w:szCs w:val="22"/>
              </w:rPr>
              <w:t>FANVIT</w:t>
            </w:r>
            <w:r w:rsidRPr="00BC3F39">
              <w:rPr>
                <w:rFonts w:ascii="Tahoma" w:hAnsi="Tahoma" w:cs="Tahoma"/>
                <w:sz w:val="22"/>
                <w:szCs w:val="22"/>
              </w:rPr>
              <w:t xml:space="preserve"> una vez que se tenga una cifra prácticamente definitiva de las sumas de efectivo a entregar a las entidades financieras terceras en los meses pares de cada bimestre, le permitirá a la Tesorería una mejor planeación y conservación de su </w:t>
            </w:r>
            <w:r w:rsidR="00876210" w:rsidRPr="00BC3F39">
              <w:rPr>
                <w:rFonts w:ascii="Tahoma" w:hAnsi="Tahoma" w:cs="Tahoma"/>
                <w:sz w:val="22"/>
                <w:szCs w:val="22"/>
              </w:rPr>
              <w:t>saldo mínimo de operación</w:t>
            </w:r>
            <w:r w:rsidRPr="00BC3F39">
              <w:rPr>
                <w:rFonts w:ascii="Tahoma" w:hAnsi="Tahoma" w:cs="Tahoma"/>
                <w:sz w:val="22"/>
                <w:szCs w:val="22"/>
              </w:rPr>
              <w:t>.</w:t>
            </w:r>
          </w:p>
          <w:p w:rsidR="00A13C31" w:rsidRPr="00BC3F39" w:rsidRDefault="000209C7" w:rsidP="00CC46D1">
            <w:pPr>
              <w:spacing w:after="160"/>
              <w:jc w:val="both"/>
              <w:rPr>
                <w:rFonts w:ascii="Tahoma" w:hAnsi="Tahoma" w:cs="Tahoma"/>
                <w:sz w:val="22"/>
                <w:szCs w:val="22"/>
              </w:rPr>
            </w:pPr>
            <w:r w:rsidRPr="00BC3F39">
              <w:rPr>
                <w:rFonts w:ascii="Tahoma" w:hAnsi="Tahoma" w:cs="Tahoma"/>
                <w:sz w:val="22"/>
                <w:szCs w:val="22"/>
              </w:rPr>
              <w:t xml:space="preserve">A </w:t>
            </w:r>
            <w:r w:rsidR="003211E0" w:rsidRPr="00BC3F39">
              <w:rPr>
                <w:rFonts w:ascii="Tahoma" w:hAnsi="Tahoma" w:cs="Tahoma"/>
                <w:sz w:val="22"/>
                <w:szCs w:val="22"/>
              </w:rPr>
              <w:t>continuación,</w:t>
            </w:r>
            <w:r w:rsidRPr="00BC3F39">
              <w:rPr>
                <w:rFonts w:ascii="Tahoma" w:hAnsi="Tahoma" w:cs="Tahoma"/>
                <w:sz w:val="22"/>
                <w:szCs w:val="22"/>
              </w:rPr>
              <w:t xml:space="preserve"> se ofrece un esquema considerando </w:t>
            </w:r>
            <w:r w:rsidR="00717D6B" w:rsidRPr="00BC3F39">
              <w:rPr>
                <w:rFonts w:ascii="Tahoma" w:hAnsi="Tahoma" w:cs="Tahoma"/>
                <w:sz w:val="22"/>
                <w:szCs w:val="22"/>
              </w:rPr>
              <w:t>los tiempos que deberán observar las reglas definidas anteriormente</w:t>
            </w:r>
            <w:r w:rsidRPr="00BC3F39">
              <w:rPr>
                <w:rFonts w:ascii="Tahoma" w:hAnsi="Tahoma" w:cs="Tahoma"/>
                <w:sz w:val="22"/>
                <w:szCs w:val="22"/>
              </w:rPr>
              <w:t>:</w:t>
            </w:r>
          </w:p>
          <w:tbl>
            <w:tblPr>
              <w:tblStyle w:val="Tablaconcuadrcula"/>
              <w:tblW w:w="0" w:type="auto"/>
              <w:tblLook w:val="04A0" w:firstRow="1" w:lastRow="0" w:firstColumn="1" w:lastColumn="0" w:noHBand="0" w:noVBand="1"/>
            </w:tblPr>
            <w:tblGrid>
              <w:gridCol w:w="1210"/>
              <w:gridCol w:w="1407"/>
              <w:gridCol w:w="1407"/>
              <w:gridCol w:w="1407"/>
              <w:gridCol w:w="1408"/>
              <w:gridCol w:w="1261"/>
            </w:tblGrid>
            <w:tr w:rsidR="00980AA6" w:rsidRPr="00BC3F39" w:rsidTr="00CC46D1">
              <w:trPr>
                <w:trHeight w:val="478"/>
              </w:trPr>
              <w:tc>
                <w:tcPr>
                  <w:tcW w:w="1210" w:type="dxa"/>
                  <w:shd w:val="clear" w:color="auto" w:fill="C00000"/>
                  <w:vAlign w:val="center"/>
                </w:tcPr>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Bimestre</w:t>
                  </w:r>
                </w:p>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Anterior</w:t>
                  </w:r>
                </w:p>
              </w:tc>
              <w:tc>
                <w:tcPr>
                  <w:tcW w:w="5629" w:type="dxa"/>
                  <w:gridSpan w:val="4"/>
                  <w:shd w:val="clear" w:color="auto" w:fill="C00000"/>
                  <w:vAlign w:val="center"/>
                </w:tcPr>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Bimestre Actual</w:t>
                  </w:r>
                </w:p>
              </w:tc>
              <w:tc>
                <w:tcPr>
                  <w:tcW w:w="1261" w:type="dxa"/>
                  <w:shd w:val="clear" w:color="auto" w:fill="C00000"/>
                  <w:vAlign w:val="center"/>
                </w:tcPr>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Bimestre</w:t>
                  </w:r>
                </w:p>
                <w:p w:rsidR="00980AA6" w:rsidRPr="00BC3F39" w:rsidRDefault="00980AA6" w:rsidP="00497126">
                  <w:pPr>
                    <w:jc w:val="center"/>
                    <w:rPr>
                      <w:rFonts w:ascii="Tahoma" w:hAnsi="Tahoma" w:cs="Tahoma"/>
                      <w:b/>
                      <w:sz w:val="22"/>
                      <w:szCs w:val="22"/>
                    </w:rPr>
                  </w:pPr>
                  <w:r w:rsidRPr="00BC3F39">
                    <w:rPr>
                      <w:rFonts w:ascii="Tahoma" w:hAnsi="Tahoma" w:cs="Tahoma"/>
                      <w:b/>
                      <w:sz w:val="22"/>
                      <w:szCs w:val="22"/>
                    </w:rPr>
                    <w:t>Siguiente</w:t>
                  </w:r>
                </w:p>
              </w:tc>
            </w:tr>
            <w:tr w:rsidR="00980AA6" w:rsidRPr="00BC3F39" w:rsidTr="00CC46D1">
              <w:trPr>
                <w:trHeight w:val="182"/>
              </w:trPr>
              <w:tc>
                <w:tcPr>
                  <w:tcW w:w="1210" w:type="dxa"/>
                  <w:vMerge w:val="restart"/>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w:t>
                  </w:r>
                </w:p>
              </w:tc>
              <w:tc>
                <w:tcPr>
                  <w:tcW w:w="2814" w:type="dxa"/>
                  <w:gridSpan w:val="2"/>
                  <w:vAlign w:val="center"/>
                </w:tcPr>
                <w:p w:rsidR="00980AA6" w:rsidRPr="00BC3F39" w:rsidRDefault="00980AA6" w:rsidP="00980AA6">
                  <w:pPr>
                    <w:jc w:val="center"/>
                    <w:rPr>
                      <w:rFonts w:ascii="Tahoma" w:hAnsi="Tahoma" w:cs="Tahoma"/>
                      <w:sz w:val="22"/>
                      <w:szCs w:val="22"/>
                    </w:rPr>
                  </w:pPr>
                  <w:r w:rsidRPr="00BC3F39">
                    <w:rPr>
                      <w:rFonts w:ascii="Tahoma" w:hAnsi="Tahoma" w:cs="Tahoma"/>
                      <w:sz w:val="22"/>
                      <w:szCs w:val="22"/>
                    </w:rPr>
                    <w:t xml:space="preserve">Mes </w:t>
                  </w:r>
                  <w:r w:rsidRPr="00BC3F39">
                    <w:rPr>
                      <w:rFonts w:ascii="Tahoma" w:hAnsi="Tahoma" w:cs="Tahoma"/>
                      <w:b/>
                      <w:sz w:val="22"/>
                      <w:szCs w:val="22"/>
                    </w:rPr>
                    <w:t>1</w:t>
                  </w:r>
                </w:p>
              </w:tc>
              <w:tc>
                <w:tcPr>
                  <w:tcW w:w="2815" w:type="dxa"/>
                  <w:gridSpan w:val="2"/>
                  <w:vAlign w:val="center"/>
                </w:tcPr>
                <w:p w:rsidR="00980AA6" w:rsidRPr="00BC3F39" w:rsidRDefault="00980AA6" w:rsidP="00980AA6">
                  <w:pPr>
                    <w:jc w:val="center"/>
                    <w:rPr>
                      <w:rFonts w:ascii="Tahoma" w:hAnsi="Tahoma" w:cs="Tahoma"/>
                      <w:sz w:val="22"/>
                      <w:szCs w:val="22"/>
                    </w:rPr>
                  </w:pPr>
                  <w:r w:rsidRPr="00BC3F39">
                    <w:rPr>
                      <w:rFonts w:ascii="Tahoma" w:hAnsi="Tahoma" w:cs="Tahoma"/>
                      <w:sz w:val="22"/>
                      <w:szCs w:val="22"/>
                    </w:rPr>
                    <w:t xml:space="preserve">Mes </w:t>
                  </w:r>
                  <w:r w:rsidRPr="00BC3F39">
                    <w:rPr>
                      <w:rFonts w:ascii="Tahoma" w:hAnsi="Tahoma" w:cs="Tahoma"/>
                      <w:b/>
                      <w:sz w:val="22"/>
                      <w:szCs w:val="22"/>
                    </w:rPr>
                    <w:t>2</w:t>
                  </w:r>
                </w:p>
              </w:tc>
              <w:tc>
                <w:tcPr>
                  <w:tcW w:w="1261" w:type="dxa"/>
                  <w:vMerge w:val="restart"/>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w:t>
                  </w:r>
                </w:p>
              </w:tc>
            </w:tr>
            <w:tr w:rsidR="00980AA6" w:rsidRPr="00BC3F39" w:rsidTr="00CC46D1">
              <w:trPr>
                <w:trHeight w:val="345"/>
              </w:trPr>
              <w:tc>
                <w:tcPr>
                  <w:tcW w:w="1210" w:type="dxa"/>
                  <w:vMerge/>
                  <w:vAlign w:val="center"/>
                </w:tcPr>
                <w:p w:rsidR="00980AA6" w:rsidRPr="00BC3F39" w:rsidRDefault="00980AA6" w:rsidP="00497126">
                  <w:pPr>
                    <w:jc w:val="center"/>
                    <w:rPr>
                      <w:rFonts w:ascii="Tahoma" w:hAnsi="Tahoma" w:cs="Tahoma"/>
                      <w:sz w:val="22"/>
                      <w:szCs w:val="22"/>
                    </w:rPr>
                  </w:pPr>
                </w:p>
              </w:tc>
              <w:tc>
                <w:tcPr>
                  <w:tcW w:w="1407"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407"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407"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408" w:type="dxa"/>
                  <w:vAlign w:val="center"/>
                </w:tcPr>
                <w:p w:rsidR="00980AA6" w:rsidRPr="00BC3F39" w:rsidRDefault="00980AA6" w:rsidP="00497126">
                  <w:pPr>
                    <w:jc w:val="center"/>
                    <w:rPr>
                      <w:rFonts w:ascii="Tahoma" w:hAnsi="Tahoma" w:cs="Tahoma"/>
                      <w:sz w:val="22"/>
                      <w:szCs w:val="22"/>
                    </w:rPr>
                  </w:pPr>
                  <w:r w:rsidRPr="00BC3F39">
                    <w:rPr>
                      <w:rFonts w:ascii="Tahoma" w:hAnsi="Tahoma" w:cs="Tahoma"/>
                      <w:sz w:val="22"/>
                      <w:szCs w:val="22"/>
                    </w:rPr>
                    <w:t>1ª quincena</w:t>
                  </w:r>
                </w:p>
              </w:tc>
              <w:tc>
                <w:tcPr>
                  <w:tcW w:w="1261" w:type="dxa"/>
                  <w:vMerge/>
                  <w:vAlign w:val="center"/>
                </w:tcPr>
                <w:p w:rsidR="00980AA6" w:rsidRPr="00BC3F39" w:rsidRDefault="00980AA6" w:rsidP="00497126">
                  <w:pPr>
                    <w:jc w:val="center"/>
                    <w:rPr>
                      <w:rFonts w:ascii="Tahoma" w:hAnsi="Tahoma" w:cs="Tahoma"/>
                      <w:sz w:val="22"/>
                      <w:szCs w:val="22"/>
                    </w:rPr>
                  </w:pPr>
                </w:p>
              </w:tc>
            </w:tr>
          </w:tbl>
          <w:p w:rsidR="00980AA6" w:rsidRPr="00BC3F39" w:rsidRDefault="00D51CD1" w:rsidP="009B766D">
            <w:pPr>
              <w:jc w:val="both"/>
              <w:rPr>
                <w:rFonts w:ascii="Tahoma" w:hAnsi="Tahoma" w:cs="Tahoma"/>
                <w:sz w:val="22"/>
                <w:szCs w:val="22"/>
              </w:rPr>
            </w:pPr>
            <w:r w:rsidRPr="00BC3F39">
              <w:rPr>
                <w:rFonts w:ascii="Tahoma" w:hAnsi="Tahoma" w:cs="Tahoma"/>
                <w:noProof/>
                <w:sz w:val="22"/>
                <w:szCs w:val="22"/>
              </w:rPr>
              <mc:AlternateContent>
                <mc:Choice Requires="wps">
                  <w:drawing>
                    <wp:anchor distT="0" distB="0" distL="114300" distR="114300" simplePos="0" relativeHeight="251669504" behindDoc="0" locked="0" layoutInCell="1" allowOverlap="1" wp14:anchorId="4B6E0C3E" wp14:editId="57D88874">
                      <wp:simplePos x="0" y="0"/>
                      <wp:positionH relativeFrom="column">
                        <wp:posOffset>2590165</wp:posOffset>
                      </wp:positionH>
                      <wp:positionV relativeFrom="paragraph">
                        <wp:posOffset>68580</wp:posOffset>
                      </wp:positionV>
                      <wp:extent cx="923925" cy="0"/>
                      <wp:effectExtent l="0" t="19050" r="9525" b="19050"/>
                      <wp:wrapNone/>
                      <wp:docPr id="12" name="12 Conector recto"/>
                      <wp:cNvGraphicFramePr/>
                      <a:graphic xmlns:a="http://schemas.openxmlformats.org/drawingml/2006/main">
                        <a:graphicData uri="http://schemas.microsoft.com/office/word/2010/wordprocessingShape">
                          <wps:wsp>
                            <wps:cNvCnPr/>
                            <wps:spPr>
                              <a:xfrm>
                                <a:off x="0" y="0"/>
                                <a:ext cx="923925" cy="0"/>
                              </a:xfrm>
                              <a:prstGeom prst="line">
                                <a:avLst/>
                              </a:prstGeom>
                              <a:ln w="28575">
                                <a:solidFill>
                                  <a:schemeClr val="accent2"/>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F71416" id="12 Conector recto"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3.95pt,5.4pt" to="276.7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" strokecolor="#c0504d [3205]" strokeweight="2.25pt">
                      <v:stroke dashstyle="1 1"/>
                    </v:line>
                  </w:pict>
                </mc:Fallback>
              </mc:AlternateContent>
            </w:r>
            <w:r w:rsidR="005B42C3" w:rsidRPr="00BC3F39">
              <w:rPr>
                <w:rFonts w:ascii="Tahoma" w:hAnsi="Tahoma" w:cs="Tahoma"/>
                <w:noProof/>
                <w:sz w:val="22"/>
                <w:szCs w:val="22"/>
              </w:rPr>
              <mc:AlternateContent>
                <mc:Choice Requires="wps">
                  <w:drawing>
                    <wp:anchor distT="0" distB="0" distL="114300" distR="114300" simplePos="0" relativeHeight="251671552" behindDoc="0" locked="0" layoutInCell="1" allowOverlap="1" wp14:anchorId="26CA2FE6" wp14:editId="359C6226">
                      <wp:simplePos x="0" y="0"/>
                      <wp:positionH relativeFrom="column">
                        <wp:posOffset>1647190</wp:posOffset>
                      </wp:positionH>
                      <wp:positionV relativeFrom="paragraph">
                        <wp:posOffset>78105</wp:posOffset>
                      </wp:positionV>
                      <wp:extent cx="342900" cy="0"/>
                      <wp:effectExtent l="0" t="19050" r="0" b="19050"/>
                      <wp:wrapNone/>
                      <wp:docPr id="5" name="5 Conector recto"/>
                      <wp:cNvGraphicFramePr/>
                      <a:graphic xmlns:a="http://schemas.openxmlformats.org/drawingml/2006/main">
                        <a:graphicData uri="http://schemas.microsoft.com/office/word/2010/wordprocessingShape">
                          <wps:wsp>
                            <wps:cNvCnPr/>
                            <wps:spPr>
                              <a:xfrm>
                                <a:off x="0" y="0"/>
                                <a:ext cx="342900"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D1318F" id="5 Conector recto"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9.7pt,6.15pt" to="156.7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" strokecolor="black [3213]" strokeweight="2.25pt">
                      <v:stroke dashstyle="1 1"/>
                    </v:line>
                  </w:pict>
                </mc:Fallback>
              </mc:AlternateContent>
            </w:r>
          </w:p>
          <w:p w:rsidR="00980AA6" w:rsidRPr="00BC3F39" w:rsidRDefault="00980AA6" w:rsidP="009B766D">
            <w:pPr>
              <w:jc w:val="both"/>
              <w:rPr>
                <w:rFonts w:ascii="Tahoma" w:hAnsi="Tahoma" w:cs="Tahoma"/>
                <w:sz w:val="22"/>
                <w:szCs w:val="22"/>
              </w:rPr>
            </w:pPr>
          </w:p>
          <w:p w:rsidR="00980AA6" w:rsidRPr="00BC3F39" w:rsidRDefault="00C108F4" w:rsidP="009B766D">
            <w:pPr>
              <w:jc w:val="both"/>
              <w:rPr>
                <w:rFonts w:ascii="Tahoma" w:hAnsi="Tahoma" w:cs="Tahoma"/>
                <w:sz w:val="22"/>
                <w:szCs w:val="22"/>
              </w:rPr>
            </w:pPr>
            <w:r w:rsidRPr="00BC3F39">
              <w:rPr>
                <w:rFonts w:ascii="Tahoma" w:hAnsi="Tahoma" w:cs="Tahoma"/>
                <w:noProof/>
                <w:sz w:val="22"/>
                <w:szCs w:val="22"/>
              </w:rPr>
              <mc:AlternateContent>
                <mc:Choice Requires="wps">
                  <w:drawing>
                    <wp:anchor distT="0" distB="0" distL="114300" distR="114300" simplePos="0" relativeHeight="251663360" behindDoc="0" locked="0" layoutInCell="1" allowOverlap="1" wp14:anchorId="1D35CB3A" wp14:editId="33C22592">
                      <wp:simplePos x="0" y="0"/>
                      <wp:positionH relativeFrom="column">
                        <wp:posOffset>3495040</wp:posOffset>
                      </wp:positionH>
                      <wp:positionV relativeFrom="paragraph">
                        <wp:posOffset>42545</wp:posOffset>
                      </wp:positionV>
                      <wp:extent cx="1676400" cy="666750"/>
                      <wp:effectExtent l="38100" t="361950" r="19050" b="19050"/>
                      <wp:wrapNone/>
                      <wp:docPr id="11" name="11 Llamada con línea 2"/>
                      <wp:cNvGraphicFramePr/>
                      <a:graphic xmlns:a="http://schemas.openxmlformats.org/drawingml/2006/main">
                        <a:graphicData uri="http://schemas.microsoft.com/office/word/2010/wordprocessingShape">
                          <wps:wsp>
                            <wps:cNvSpPr/>
                            <wps:spPr>
                              <a:xfrm>
                                <a:off x="0" y="0"/>
                                <a:ext cx="1676400" cy="666750"/>
                              </a:xfrm>
                              <a:prstGeom prst="borderCallout2">
                                <a:avLst>
                                  <a:gd name="adj1" fmla="val -1047"/>
                                  <a:gd name="adj2" fmla="val 39155"/>
                                  <a:gd name="adj3" fmla="val -45563"/>
                                  <a:gd name="adj4" fmla="val 38122"/>
                                  <a:gd name="adj5" fmla="val -44921"/>
                                  <a:gd name="adj6" fmla="val 336"/>
                                </a:avLst>
                              </a:prstGeom>
                              <a:solidFill>
                                <a:schemeClr val="accent2">
                                  <a:lumMod val="40000"/>
                                  <a:lumOff val="60000"/>
                                </a:schemeClr>
                              </a:solidFill>
                              <a:ln w="6350">
                                <a:solidFill>
                                  <a:schemeClr val="accent2"/>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980AA6" w:rsidRDefault="00980AA6" w:rsidP="00980AA6">
                                  <w:pPr>
                                    <w:jc w:val="center"/>
                                    <w:rPr>
                                      <w:rFonts w:ascii="Arial" w:hAnsi="Arial" w:cs="Arial"/>
                                      <w:color w:val="000000" w:themeColor="text1"/>
                                      <w:sz w:val="18"/>
                                    </w:rPr>
                                  </w:pPr>
                                  <w:r>
                                    <w:rPr>
                                      <w:rFonts w:ascii="Arial" w:hAnsi="Arial" w:cs="Arial"/>
                                      <w:color w:val="000000" w:themeColor="text1"/>
                                      <w:sz w:val="18"/>
                                    </w:rPr>
                                    <w:t xml:space="preserve">Ejecución de la transferencia </w:t>
                                  </w:r>
                                </w:p>
                                <w:p w:rsidR="00980AA6" w:rsidRPr="00DC3A6E" w:rsidRDefault="00980AA6" w:rsidP="00980AA6">
                                  <w:pPr>
                                    <w:jc w:val="center"/>
                                    <w:rPr>
                                      <w:rFonts w:ascii="Arial" w:hAnsi="Arial" w:cs="Arial"/>
                                      <w:color w:val="000000" w:themeColor="text1"/>
                                      <w:sz w:val="18"/>
                                    </w:rPr>
                                  </w:pPr>
                                  <w:r>
                                    <w:rPr>
                                      <w:rFonts w:ascii="Arial" w:hAnsi="Arial" w:cs="Arial"/>
                                      <w:color w:val="000000" w:themeColor="text1"/>
                                      <w:sz w:val="18"/>
                                    </w:rPr>
                                    <w:t>(E</w:t>
                                  </w:r>
                                  <w:r w:rsidRPr="000E5708">
                                    <w:rPr>
                                      <w:rFonts w:ascii="Arial" w:hAnsi="Arial" w:cs="Arial"/>
                                      <w:color w:val="000000" w:themeColor="text1"/>
                                      <w:sz w:val="18"/>
                                    </w:rPr>
                                    <w:t>n cualquier momento durante la primera quincena del mes</w:t>
                                  </w:r>
                                  <w:r>
                                    <w:rPr>
                                      <w:rFonts w:ascii="Arial" w:hAnsi="Arial" w:cs="Arial"/>
                                      <w:color w:val="000000" w:themeColor="text1"/>
                                      <w:sz w:val="18"/>
                                    </w:rPr>
                                    <w:t xml:space="preserve"> 2)</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35CB3A"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11 Llamada con línea 2" o:spid="_x0000_s1026" type="#_x0000_t48" style="position:absolute;left:0;text-align:left;margin-left:275.2pt;margin-top:3.35pt;width:132pt;height: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" adj="73,-9703,8234,-9842,8457,-226" fillcolor="#e5b8b7 [1301]" strokecolor="#c0504d [3205]" strokeweight=".5pt">
                      <v:stroke startarrow="block"/>
                      <v:textbox inset=",.5mm,,.5mm">
                        <w:txbxContent>
                          <w:p w:rsidR="00980AA6" w:rsidRDefault="00980AA6" w:rsidP="00980AA6">
                            <w:pPr>
                              <w:jc w:val="center"/>
                              <w:rPr>
                                <w:rFonts w:ascii="Arial" w:hAnsi="Arial" w:cs="Arial"/>
                                <w:color w:val="000000" w:themeColor="text1"/>
                                <w:sz w:val="18"/>
                              </w:rPr>
                            </w:pPr>
                            <w:r>
                              <w:rPr>
                                <w:rFonts w:ascii="Arial" w:hAnsi="Arial" w:cs="Arial"/>
                                <w:color w:val="000000" w:themeColor="text1"/>
                                <w:sz w:val="18"/>
                              </w:rPr>
                              <w:t xml:space="preserve">Ejecución de la transferencia </w:t>
                            </w:r>
                          </w:p>
                          <w:p w:rsidR="00980AA6" w:rsidRPr="00DC3A6E" w:rsidRDefault="00980AA6" w:rsidP="00980AA6">
                            <w:pPr>
                              <w:jc w:val="center"/>
                              <w:rPr>
                                <w:rFonts w:ascii="Arial" w:hAnsi="Arial" w:cs="Arial"/>
                                <w:color w:val="000000" w:themeColor="text1"/>
                                <w:sz w:val="18"/>
                              </w:rPr>
                            </w:pPr>
                            <w:r>
                              <w:rPr>
                                <w:rFonts w:ascii="Arial" w:hAnsi="Arial" w:cs="Arial"/>
                                <w:color w:val="000000" w:themeColor="text1"/>
                                <w:sz w:val="18"/>
                              </w:rPr>
                              <w:t>(E</w:t>
                            </w:r>
                            <w:r w:rsidRPr="000E5708">
                              <w:rPr>
                                <w:rFonts w:ascii="Arial" w:hAnsi="Arial" w:cs="Arial"/>
                                <w:color w:val="000000" w:themeColor="text1"/>
                                <w:sz w:val="18"/>
                              </w:rPr>
                              <w:t>n cualquier momento durante la primera quincena del mes</w:t>
                            </w:r>
                            <w:r>
                              <w:rPr>
                                <w:rFonts w:ascii="Arial" w:hAnsi="Arial" w:cs="Arial"/>
                                <w:color w:val="000000" w:themeColor="text1"/>
                                <w:sz w:val="18"/>
                              </w:rPr>
                              <w:t xml:space="preserve"> 2)</w:t>
                            </w:r>
                          </w:p>
                        </w:txbxContent>
                      </v:textbox>
                    </v:shape>
                  </w:pict>
                </mc:Fallback>
              </mc:AlternateContent>
            </w:r>
            <w:r w:rsidRPr="00BC3F39">
              <w:rPr>
                <w:rFonts w:ascii="Tahoma" w:hAnsi="Tahoma" w:cs="Tahoma"/>
                <w:noProof/>
                <w:sz w:val="22"/>
                <w:szCs w:val="22"/>
              </w:rPr>
              <mc:AlternateContent>
                <mc:Choice Requires="wps">
                  <w:drawing>
                    <wp:anchor distT="0" distB="0" distL="114300" distR="114300" simplePos="0" relativeHeight="251661312" behindDoc="0" locked="0" layoutInCell="1" allowOverlap="1" wp14:anchorId="7262AA54" wp14:editId="4E2D5C77">
                      <wp:simplePos x="0" y="0"/>
                      <wp:positionH relativeFrom="column">
                        <wp:posOffset>1751965</wp:posOffset>
                      </wp:positionH>
                      <wp:positionV relativeFrom="paragraph">
                        <wp:posOffset>42545</wp:posOffset>
                      </wp:positionV>
                      <wp:extent cx="1676400" cy="666750"/>
                      <wp:effectExtent l="0" t="419100" r="19050" b="19050"/>
                      <wp:wrapNone/>
                      <wp:docPr id="13" name="13 Llamada con línea 2"/>
                      <wp:cNvGraphicFramePr/>
                      <a:graphic xmlns:a="http://schemas.openxmlformats.org/drawingml/2006/main">
                        <a:graphicData uri="http://schemas.microsoft.com/office/word/2010/wordprocessingShape">
                          <wps:wsp>
                            <wps:cNvSpPr/>
                            <wps:spPr>
                              <a:xfrm>
                                <a:off x="0" y="0"/>
                                <a:ext cx="1676400" cy="666750"/>
                              </a:xfrm>
                              <a:prstGeom prst="borderCallout2">
                                <a:avLst>
                                  <a:gd name="adj1" fmla="val 0"/>
                                  <a:gd name="adj2" fmla="val 48112"/>
                                  <a:gd name="adj3" fmla="val -30521"/>
                                  <a:gd name="adj4" fmla="val 48283"/>
                                  <a:gd name="adj5" fmla="val -57090"/>
                                  <a:gd name="adj6" fmla="val 48152"/>
                                </a:avLst>
                              </a:prstGeom>
                              <a:solidFill>
                                <a:schemeClr val="accent1">
                                  <a:lumMod val="40000"/>
                                  <a:lumOff val="60000"/>
                                </a:schemeClr>
                              </a:solidFill>
                              <a:ln w="6350">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980AA6" w:rsidRDefault="00980AA6" w:rsidP="00980AA6">
                                  <w:pPr>
                                    <w:jc w:val="center"/>
                                    <w:rPr>
                                      <w:rFonts w:ascii="Arial" w:hAnsi="Arial" w:cs="Arial"/>
                                      <w:color w:val="000000" w:themeColor="text1"/>
                                      <w:sz w:val="18"/>
                                    </w:rPr>
                                  </w:pPr>
                                  <w:r w:rsidRPr="00DC3A6E">
                                    <w:rPr>
                                      <w:rFonts w:ascii="Arial" w:hAnsi="Arial" w:cs="Arial"/>
                                      <w:color w:val="000000" w:themeColor="text1"/>
                                      <w:sz w:val="18"/>
                                    </w:rPr>
                                    <w:t xml:space="preserve">Determinación del Monto </w:t>
                                  </w:r>
                                  <w:r w:rsidR="00D51CD1">
                                    <w:rPr>
                                      <w:rFonts w:ascii="Arial" w:hAnsi="Arial" w:cs="Arial"/>
                                      <w:color w:val="000000" w:themeColor="text1"/>
                                      <w:sz w:val="18"/>
                                    </w:rPr>
                                    <w:t>a transferir al</w:t>
                                  </w:r>
                                  <w:r w:rsidRPr="00DC3A6E">
                                    <w:rPr>
                                      <w:rFonts w:ascii="Arial" w:hAnsi="Arial" w:cs="Arial"/>
                                      <w:color w:val="000000" w:themeColor="text1"/>
                                      <w:sz w:val="18"/>
                                    </w:rPr>
                                    <w:t xml:space="preserve"> </w:t>
                                  </w:r>
                                  <w:r w:rsidR="00602FA1">
                                    <w:rPr>
                                      <w:rFonts w:ascii="Arial" w:hAnsi="Arial" w:cs="Arial"/>
                                      <w:color w:val="000000" w:themeColor="text1"/>
                                      <w:sz w:val="18"/>
                                    </w:rPr>
                                    <w:t>FANVIT</w:t>
                                  </w:r>
                                </w:p>
                                <w:p w:rsidR="00980AA6" w:rsidRPr="00DC3A6E" w:rsidRDefault="00D51CD1" w:rsidP="00980AA6">
                                  <w:pPr>
                                    <w:jc w:val="center"/>
                                    <w:rPr>
                                      <w:rFonts w:ascii="Arial" w:hAnsi="Arial" w:cs="Arial"/>
                                      <w:color w:val="000000" w:themeColor="text1"/>
                                      <w:sz w:val="18"/>
                                    </w:rPr>
                                  </w:pPr>
                                  <w:r>
                                    <w:rPr>
                                      <w:rFonts w:ascii="Arial" w:hAnsi="Arial" w:cs="Arial"/>
                                      <w:color w:val="000000" w:themeColor="text1"/>
                                      <w:sz w:val="18"/>
                                    </w:rPr>
                                    <w:t>(a</w:t>
                                  </w:r>
                                  <w:r w:rsidR="00980AA6">
                                    <w:rPr>
                                      <w:rFonts w:ascii="Arial" w:hAnsi="Arial" w:cs="Arial"/>
                                      <w:color w:val="000000" w:themeColor="text1"/>
                                      <w:sz w:val="18"/>
                                    </w:rPr>
                                    <w:t>l cierre del mes 1)</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2AA54" id="13 Llamada con línea 2" o:spid="_x0000_s1027" type="#_x0000_t48" style="position:absolute;left:0;text-align:left;margin-left:137.95pt;margin-top:3.35pt;width:132pt;height: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" adj="10401,-12331,10429,-6593,10392,0" fillcolor="#b8cce4 [1300]" strokecolor="#243f60 [1604]" strokeweight=".5pt">
                      <v:stroke startarrow="block"/>
                      <v:textbox inset=",.5mm,,.5mm">
                        <w:txbxContent>
                          <w:p w:rsidR="00980AA6" w:rsidRDefault="00980AA6" w:rsidP="00980AA6">
                            <w:pPr>
                              <w:jc w:val="center"/>
                              <w:rPr>
                                <w:rFonts w:ascii="Arial" w:hAnsi="Arial" w:cs="Arial"/>
                                <w:color w:val="000000" w:themeColor="text1"/>
                                <w:sz w:val="18"/>
                              </w:rPr>
                            </w:pPr>
                            <w:r w:rsidRPr="00DC3A6E">
                              <w:rPr>
                                <w:rFonts w:ascii="Arial" w:hAnsi="Arial" w:cs="Arial"/>
                                <w:color w:val="000000" w:themeColor="text1"/>
                                <w:sz w:val="18"/>
                              </w:rPr>
                              <w:t xml:space="preserve">Determinación del Monto </w:t>
                            </w:r>
                            <w:r w:rsidR="00D51CD1">
                              <w:rPr>
                                <w:rFonts w:ascii="Arial" w:hAnsi="Arial" w:cs="Arial"/>
                                <w:color w:val="000000" w:themeColor="text1"/>
                                <w:sz w:val="18"/>
                              </w:rPr>
                              <w:t>a transferir al</w:t>
                            </w:r>
                            <w:r w:rsidRPr="00DC3A6E">
                              <w:rPr>
                                <w:rFonts w:ascii="Arial" w:hAnsi="Arial" w:cs="Arial"/>
                                <w:color w:val="000000" w:themeColor="text1"/>
                                <w:sz w:val="18"/>
                              </w:rPr>
                              <w:t xml:space="preserve"> </w:t>
                            </w:r>
                            <w:r w:rsidR="00602FA1">
                              <w:rPr>
                                <w:rFonts w:ascii="Arial" w:hAnsi="Arial" w:cs="Arial"/>
                                <w:color w:val="000000" w:themeColor="text1"/>
                                <w:sz w:val="18"/>
                              </w:rPr>
                              <w:t>FANVIT</w:t>
                            </w:r>
                          </w:p>
                          <w:p w:rsidR="00980AA6" w:rsidRPr="00DC3A6E" w:rsidRDefault="00D51CD1" w:rsidP="00980AA6">
                            <w:pPr>
                              <w:jc w:val="center"/>
                              <w:rPr>
                                <w:rFonts w:ascii="Arial" w:hAnsi="Arial" w:cs="Arial"/>
                                <w:color w:val="000000" w:themeColor="text1"/>
                                <w:sz w:val="18"/>
                              </w:rPr>
                            </w:pPr>
                            <w:r>
                              <w:rPr>
                                <w:rFonts w:ascii="Arial" w:hAnsi="Arial" w:cs="Arial"/>
                                <w:color w:val="000000" w:themeColor="text1"/>
                                <w:sz w:val="18"/>
                              </w:rPr>
                              <w:t>(a</w:t>
                            </w:r>
                            <w:r w:rsidR="00980AA6">
                              <w:rPr>
                                <w:rFonts w:ascii="Arial" w:hAnsi="Arial" w:cs="Arial"/>
                                <w:color w:val="000000" w:themeColor="text1"/>
                                <w:sz w:val="18"/>
                              </w:rPr>
                              <w:t>l cierre del mes 1)</w:t>
                            </w:r>
                          </w:p>
                        </w:txbxContent>
                      </v:textbox>
                      <o:callout v:ext="edit" minusx="t"/>
                    </v:shape>
                  </w:pict>
                </mc:Fallback>
              </mc:AlternateContent>
            </w:r>
            <w:r w:rsidR="00D51CD1" w:rsidRPr="00BC3F39">
              <w:rPr>
                <w:rFonts w:ascii="Tahoma" w:hAnsi="Tahoma" w:cs="Tahoma"/>
                <w:noProof/>
                <w:sz w:val="22"/>
                <w:szCs w:val="22"/>
              </w:rPr>
              <mc:AlternateContent>
                <mc:Choice Requires="wps">
                  <w:drawing>
                    <wp:anchor distT="0" distB="0" distL="114300" distR="114300" simplePos="0" relativeHeight="251659264" behindDoc="0" locked="0" layoutInCell="1" allowOverlap="1" wp14:anchorId="3D411620" wp14:editId="04FA9BC0">
                      <wp:simplePos x="0" y="0"/>
                      <wp:positionH relativeFrom="column">
                        <wp:posOffset>8890</wp:posOffset>
                      </wp:positionH>
                      <wp:positionV relativeFrom="paragraph">
                        <wp:posOffset>33020</wp:posOffset>
                      </wp:positionV>
                      <wp:extent cx="1666875" cy="676275"/>
                      <wp:effectExtent l="0" t="361950" r="28575" b="28575"/>
                      <wp:wrapNone/>
                      <wp:docPr id="10" name="10 Llamada con línea 2"/>
                      <wp:cNvGraphicFramePr/>
                      <a:graphic xmlns:a="http://schemas.openxmlformats.org/drawingml/2006/main">
                        <a:graphicData uri="http://schemas.microsoft.com/office/word/2010/wordprocessingShape">
                          <wps:wsp>
                            <wps:cNvSpPr/>
                            <wps:spPr>
                              <a:xfrm>
                                <a:off x="0" y="0"/>
                                <a:ext cx="1666875" cy="676275"/>
                              </a:xfrm>
                              <a:prstGeom prst="borderCallout2">
                                <a:avLst>
                                  <a:gd name="adj1" fmla="val -1408"/>
                                  <a:gd name="adj2" fmla="val 49337"/>
                                  <a:gd name="adj3" fmla="val -42032"/>
                                  <a:gd name="adj4" fmla="val 49705"/>
                                  <a:gd name="adj5" fmla="val -41256"/>
                                  <a:gd name="adj6" fmla="val 95180"/>
                                </a:avLst>
                              </a:prstGeom>
                              <a:noFill/>
                              <a:ln w="6350">
                                <a:solidFill>
                                  <a:schemeClr val="tx1"/>
                                </a:solidFill>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Ingresos por Recaudación</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(Aportaciones / ROA)</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del 16 al 18 del mes 1</w:t>
                                  </w:r>
                                </w:p>
                                <w:p w:rsidR="00980AA6"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(1)</w:t>
                                  </w:r>
                                </w:p>
                              </w:txbxContent>
                            </wps:txbx>
                            <wps:bodyPr rot="0" spcFirstLastPara="0" vertOverflow="overflow" horzOverflow="overflow" vert="horz" wrap="square" lIns="91440" tIns="288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11620" id="10 Llamada con línea 2" o:spid="_x0000_s1028" type="#_x0000_t48" style="position:absolute;left:0;text-align:left;margin-left:.7pt;margin-top:2.6pt;width:131.25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" adj="20559,-8911,10736,-9079,10657,-304" filled="f" strokecolor="black [3213]" strokeweight=".5pt">
                      <v:stroke startarrow="block"/>
                      <v:textbox inset=",.8mm,,.5mm">
                        <w:txbxContent>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Ingresos por Recaudación</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(Aportaciones / ROA)</w:t>
                            </w:r>
                          </w:p>
                          <w:p w:rsidR="00D51CD1"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del 16 al 18 del mes 1</w:t>
                            </w:r>
                          </w:p>
                          <w:p w:rsidR="00980AA6" w:rsidRPr="00D51CD1" w:rsidRDefault="00D51CD1" w:rsidP="00D51CD1">
                            <w:pPr>
                              <w:jc w:val="center"/>
                              <w:rPr>
                                <w:rFonts w:ascii="Arial" w:hAnsi="Arial" w:cs="Arial"/>
                                <w:color w:val="000000" w:themeColor="text1"/>
                                <w:sz w:val="18"/>
                                <w:szCs w:val="18"/>
                              </w:rPr>
                            </w:pPr>
                            <w:r w:rsidRPr="00D51CD1">
                              <w:rPr>
                                <w:rFonts w:ascii="Arial" w:hAnsi="Arial" w:cs="Arial"/>
                                <w:color w:val="000000" w:themeColor="text1"/>
                                <w:sz w:val="18"/>
                                <w:szCs w:val="18"/>
                              </w:rPr>
                              <w:t>(1)</w:t>
                            </w:r>
                          </w:p>
                        </w:txbxContent>
                      </v:textbox>
                      <o:callout v:ext="edit" minusx="t"/>
                    </v:shape>
                  </w:pict>
                </mc:Fallback>
              </mc:AlternateContent>
            </w:r>
          </w:p>
          <w:p w:rsidR="00980AA6" w:rsidRPr="00BC3F39" w:rsidRDefault="00980AA6" w:rsidP="009B766D">
            <w:pPr>
              <w:jc w:val="both"/>
              <w:rPr>
                <w:rFonts w:ascii="Tahoma" w:hAnsi="Tahoma" w:cs="Tahoma"/>
                <w:sz w:val="22"/>
                <w:szCs w:val="22"/>
              </w:rPr>
            </w:pPr>
          </w:p>
          <w:p w:rsidR="00980AA6" w:rsidRPr="00BC3F39" w:rsidRDefault="00980AA6" w:rsidP="009B766D">
            <w:pPr>
              <w:jc w:val="both"/>
              <w:rPr>
                <w:rFonts w:ascii="Tahoma" w:hAnsi="Tahoma" w:cs="Tahoma"/>
                <w:sz w:val="22"/>
                <w:szCs w:val="22"/>
              </w:rPr>
            </w:pPr>
          </w:p>
          <w:p w:rsidR="00980AA6" w:rsidRPr="00BC3F39" w:rsidRDefault="00980AA6" w:rsidP="009B766D">
            <w:pPr>
              <w:jc w:val="both"/>
              <w:rPr>
                <w:rFonts w:ascii="Tahoma" w:hAnsi="Tahoma" w:cs="Tahoma"/>
                <w:sz w:val="22"/>
                <w:szCs w:val="22"/>
              </w:rPr>
            </w:pPr>
          </w:p>
          <w:p w:rsidR="00980AA6" w:rsidRPr="00BC3F39" w:rsidRDefault="00980AA6" w:rsidP="009B766D">
            <w:pPr>
              <w:jc w:val="both"/>
              <w:rPr>
                <w:rFonts w:ascii="Tahoma" w:hAnsi="Tahoma" w:cs="Tahoma"/>
                <w:sz w:val="22"/>
                <w:szCs w:val="22"/>
              </w:rPr>
            </w:pPr>
          </w:p>
          <w:p w:rsidR="009F0A70" w:rsidRPr="00BC3F39" w:rsidRDefault="00796B90" w:rsidP="00CC46D1">
            <w:pPr>
              <w:pStyle w:val="Prrafodelista"/>
              <w:numPr>
                <w:ilvl w:val="0"/>
                <w:numId w:val="30"/>
              </w:numPr>
              <w:spacing w:after="160"/>
              <w:contextualSpacing w:val="0"/>
              <w:jc w:val="both"/>
              <w:rPr>
                <w:rFonts w:ascii="Tahoma" w:hAnsi="Tahoma" w:cs="Tahoma"/>
              </w:rPr>
            </w:pPr>
            <w:r w:rsidRPr="00BC3F39">
              <w:rPr>
                <w:rFonts w:ascii="Tahoma" w:hAnsi="Tahoma" w:cs="Tahoma"/>
              </w:rPr>
              <w:t>Los días de recaudación bimestral dependen del día en que caiga el día 18 del bimestre correspondiente</w:t>
            </w:r>
          </w:p>
          <w:p w:rsidR="00CF0637" w:rsidRPr="00BC3F39" w:rsidRDefault="00CF0637" w:rsidP="00CC46D1">
            <w:pPr>
              <w:spacing w:after="160"/>
              <w:jc w:val="both"/>
              <w:rPr>
                <w:rFonts w:ascii="Tahoma" w:hAnsi="Tahoma" w:cs="Tahoma"/>
                <w:sz w:val="22"/>
                <w:szCs w:val="22"/>
              </w:rPr>
            </w:pPr>
            <w:r w:rsidRPr="00BC3F39">
              <w:rPr>
                <w:rFonts w:ascii="Tahoma" w:hAnsi="Tahoma" w:cs="Tahoma"/>
                <w:sz w:val="22"/>
                <w:szCs w:val="22"/>
              </w:rPr>
              <w:t xml:space="preserve">Es importante mencionar que, con la finalidad de garantizar la transparencia y la rendición de cuentas en el traspaso de los recursos de la Tesorería al </w:t>
            </w:r>
            <w:r w:rsidR="00602FA1">
              <w:rPr>
                <w:rFonts w:ascii="Tahoma" w:hAnsi="Tahoma" w:cs="Tahoma"/>
                <w:sz w:val="22"/>
                <w:szCs w:val="22"/>
              </w:rPr>
              <w:t>FANVIT</w:t>
            </w:r>
            <w:r w:rsidRPr="00BC3F39">
              <w:rPr>
                <w:rFonts w:ascii="Tahoma" w:hAnsi="Tahoma" w:cs="Tahoma"/>
                <w:sz w:val="22"/>
                <w:szCs w:val="22"/>
              </w:rPr>
              <w:t>, se deberá integrar un grupo de trabajo compuesto por los funcionarios de las áreas que se mencionan más adelante, para participar en reuniones que tendrán lugar dentro de los primeros quince días de febrero, abril, junio, agosto, octubre y diciembre de cada año, para revisar y acordar el monto a traspasar y la periodicidad con que se llevarán a cabo dichos traspasos:</w:t>
            </w:r>
          </w:p>
          <w:p w:rsidR="00CF0637" w:rsidRPr="00BC3F39" w:rsidRDefault="00CF0637" w:rsidP="00CF0637">
            <w:pPr>
              <w:pStyle w:val="Prrafodelista"/>
              <w:numPr>
                <w:ilvl w:val="0"/>
                <w:numId w:val="34"/>
              </w:numPr>
              <w:jc w:val="both"/>
              <w:rPr>
                <w:rFonts w:ascii="Tahoma" w:hAnsi="Tahoma" w:cs="Tahoma"/>
              </w:rPr>
            </w:pPr>
            <w:r w:rsidRPr="00BC3F39">
              <w:rPr>
                <w:rFonts w:ascii="Tahoma" w:hAnsi="Tahoma" w:cs="Tahoma"/>
              </w:rPr>
              <w:t>Gerente Sr de Riesgos Financieros de la Coordinación General de Riesgos;</w:t>
            </w:r>
          </w:p>
          <w:p w:rsidR="00CF0637" w:rsidRPr="00BC3F39" w:rsidRDefault="00745E13" w:rsidP="00CF0637">
            <w:pPr>
              <w:pStyle w:val="Prrafodelista"/>
              <w:numPr>
                <w:ilvl w:val="0"/>
                <w:numId w:val="34"/>
              </w:numPr>
              <w:jc w:val="both"/>
              <w:rPr>
                <w:rFonts w:ascii="Tahoma" w:hAnsi="Tahoma" w:cs="Tahoma"/>
              </w:rPr>
            </w:pPr>
            <w:r>
              <w:rPr>
                <w:rFonts w:ascii="Tahoma" w:hAnsi="Tahoma" w:cs="Tahoma"/>
              </w:rPr>
              <w:t xml:space="preserve">Gerente Sr de la Gerencia </w:t>
            </w:r>
            <w:r w:rsidR="00CF0637" w:rsidRPr="00BC3F39">
              <w:rPr>
                <w:rFonts w:ascii="Tahoma" w:hAnsi="Tahoma" w:cs="Tahoma"/>
              </w:rPr>
              <w:t>de Estrategias de Balance y CEDEVIS;</w:t>
            </w:r>
          </w:p>
          <w:p w:rsidR="00CF0637" w:rsidRPr="00BC3F39" w:rsidRDefault="00CF0637" w:rsidP="00CF0637">
            <w:pPr>
              <w:pStyle w:val="Prrafodelista"/>
              <w:numPr>
                <w:ilvl w:val="0"/>
                <w:numId w:val="34"/>
              </w:numPr>
              <w:jc w:val="both"/>
              <w:rPr>
                <w:rFonts w:ascii="Tahoma" w:hAnsi="Tahoma" w:cs="Tahoma"/>
              </w:rPr>
            </w:pPr>
            <w:r w:rsidRPr="00BC3F39">
              <w:rPr>
                <w:rFonts w:ascii="Tahoma" w:hAnsi="Tahoma" w:cs="Tahoma"/>
              </w:rPr>
              <w:t xml:space="preserve">Gerente Sr de la Gerencia de </w:t>
            </w:r>
            <w:r w:rsidR="00745E13">
              <w:rPr>
                <w:rFonts w:ascii="Tahoma" w:hAnsi="Tahoma" w:cs="Tahoma"/>
              </w:rPr>
              <w:t>Coordinación de</w:t>
            </w:r>
            <w:r w:rsidRPr="00BC3F39">
              <w:rPr>
                <w:rFonts w:ascii="Tahoma" w:hAnsi="Tahoma" w:cs="Tahoma"/>
              </w:rPr>
              <w:t xml:space="preserve"> Inversiones; y </w:t>
            </w:r>
          </w:p>
          <w:p w:rsidR="00CF0637" w:rsidRPr="00BC3F39" w:rsidRDefault="00CF0637" w:rsidP="00CC46D1">
            <w:pPr>
              <w:pStyle w:val="Prrafodelista"/>
              <w:numPr>
                <w:ilvl w:val="0"/>
                <w:numId w:val="34"/>
              </w:numPr>
              <w:spacing w:after="160"/>
              <w:contextualSpacing w:val="0"/>
              <w:jc w:val="both"/>
              <w:rPr>
                <w:rFonts w:ascii="Tahoma" w:hAnsi="Tahoma" w:cs="Tahoma"/>
              </w:rPr>
            </w:pPr>
            <w:r w:rsidRPr="00BC3F39">
              <w:rPr>
                <w:rFonts w:ascii="Tahoma" w:hAnsi="Tahoma" w:cs="Tahoma"/>
              </w:rPr>
              <w:t>El Tesorero del Instituto.</w:t>
            </w:r>
          </w:p>
          <w:p w:rsidR="00512F93" w:rsidRPr="00BC3F39" w:rsidRDefault="00E419AA" w:rsidP="00CC46D1">
            <w:pPr>
              <w:spacing w:after="160"/>
              <w:jc w:val="both"/>
              <w:rPr>
                <w:rFonts w:ascii="Tahoma" w:hAnsi="Tahoma" w:cs="Tahoma"/>
                <w:b/>
                <w:sz w:val="22"/>
                <w:szCs w:val="22"/>
                <w:u w:val="single"/>
              </w:rPr>
            </w:pPr>
            <w:r w:rsidRPr="00BC3F39">
              <w:rPr>
                <w:rFonts w:ascii="Tahoma" w:hAnsi="Tahoma" w:cs="Tahoma"/>
                <w:b/>
                <w:sz w:val="22"/>
                <w:szCs w:val="22"/>
                <w:u w:val="single"/>
              </w:rPr>
              <w:t>Respecto de las</w:t>
            </w:r>
            <w:r w:rsidR="00AE1437" w:rsidRPr="00BC3F39">
              <w:rPr>
                <w:rFonts w:ascii="Tahoma" w:hAnsi="Tahoma" w:cs="Tahoma"/>
                <w:b/>
                <w:sz w:val="22"/>
                <w:szCs w:val="22"/>
                <w:u w:val="single"/>
              </w:rPr>
              <w:t xml:space="preserve"> </w:t>
            </w:r>
            <w:r w:rsidRPr="00BC3F39">
              <w:rPr>
                <w:rFonts w:ascii="Tahoma" w:hAnsi="Tahoma" w:cs="Tahoma"/>
                <w:b/>
                <w:sz w:val="22"/>
                <w:szCs w:val="22"/>
                <w:u w:val="single"/>
              </w:rPr>
              <w:t>s</w:t>
            </w:r>
            <w:r w:rsidR="00512F93" w:rsidRPr="00BC3F39">
              <w:rPr>
                <w:rFonts w:ascii="Tahoma" w:hAnsi="Tahoma" w:cs="Tahoma"/>
                <w:b/>
                <w:sz w:val="22"/>
                <w:szCs w:val="22"/>
                <w:u w:val="single"/>
              </w:rPr>
              <w:t>ituaciones no previstas</w:t>
            </w:r>
          </w:p>
          <w:p w:rsidR="00AD18AB" w:rsidRPr="00BC3F39" w:rsidRDefault="00512F93" w:rsidP="00CC46D1">
            <w:pPr>
              <w:spacing w:after="160"/>
              <w:jc w:val="both"/>
              <w:rPr>
                <w:rFonts w:ascii="Tahoma" w:hAnsi="Tahoma" w:cs="Tahoma"/>
                <w:sz w:val="22"/>
                <w:szCs w:val="22"/>
              </w:rPr>
            </w:pPr>
            <w:r w:rsidRPr="00BC3F39">
              <w:rPr>
                <w:rFonts w:ascii="Tahoma" w:hAnsi="Tahoma" w:cs="Tahoma"/>
                <w:sz w:val="22"/>
                <w:szCs w:val="22"/>
              </w:rPr>
              <w:t xml:space="preserve">Para cualquier situación no prevista en la presente Política, </w:t>
            </w:r>
            <w:r w:rsidR="004A00AE" w:rsidRPr="00BC3F39">
              <w:rPr>
                <w:rFonts w:ascii="Tahoma" w:hAnsi="Tahoma" w:cs="Tahoma"/>
                <w:sz w:val="22"/>
                <w:szCs w:val="22"/>
              </w:rPr>
              <w:t>se</w:t>
            </w:r>
            <w:r w:rsidRPr="00BC3F39">
              <w:rPr>
                <w:rFonts w:ascii="Tahoma" w:hAnsi="Tahoma" w:cs="Tahoma"/>
                <w:sz w:val="22"/>
                <w:szCs w:val="22"/>
              </w:rPr>
              <w:t xml:space="preserve"> deberá presentar para aprobación </w:t>
            </w:r>
            <w:r w:rsidR="004A00AE" w:rsidRPr="00BC3F39">
              <w:rPr>
                <w:rFonts w:ascii="Tahoma" w:hAnsi="Tahoma" w:cs="Tahoma"/>
                <w:sz w:val="22"/>
                <w:szCs w:val="22"/>
              </w:rPr>
              <w:t>del</w:t>
            </w:r>
            <w:r w:rsidR="00272CEA" w:rsidRPr="00BC3F39">
              <w:rPr>
                <w:rFonts w:ascii="Tahoma" w:hAnsi="Tahoma" w:cs="Tahoma"/>
                <w:sz w:val="22"/>
                <w:szCs w:val="22"/>
              </w:rPr>
              <w:t xml:space="preserve"> </w:t>
            </w:r>
            <w:r w:rsidR="0081478D" w:rsidRPr="00BC3F39">
              <w:rPr>
                <w:rFonts w:ascii="Tahoma" w:hAnsi="Tahoma" w:cs="Tahoma"/>
                <w:sz w:val="22"/>
                <w:szCs w:val="22"/>
              </w:rPr>
              <w:t>Comité de Inversiones</w:t>
            </w:r>
            <w:r w:rsidR="004D20CB" w:rsidRPr="00BC3F39">
              <w:rPr>
                <w:rFonts w:ascii="Tahoma" w:hAnsi="Tahoma" w:cs="Tahoma"/>
                <w:sz w:val="22"/>
                <w:szCs w:val="22"/>
              </w:rPr>
              <w:t>,</w:t>
            </w:r>
            <w:r w:rsidR="0081478D" w:rsidRPr="00BC3F39">
              <w:rPr>
                <w:rFonts w:ascii="Tahoma" w:hAnsi="Tahoma" w:cs="Tahoma"/>
                <w:sz w:val="22"/>
                <w:szCs w:val="22"/>
              </w:rPr>
              <w:t xml:space="preserve"> </w:t>
            </w:r>
            <w:r w:rsidRPr="00BC3F39">
              <w:rPr>
                <w:rFonts w:ascii="Tahoma" w:hAnsi="Tahoma" w:cs="Tahoma"/>
                <w:sz w:val="22"/>
                <w:szCs w:val="22"/>
              </w:rPr>
              <w:t>un análisis con la situación no prevista específica que hubiese sido detectada, las causas que la originan y una propuesta para el manejo a la misma.</w:t>
            </w:r>
            <w:r w:rsidR="00111436" w:rsidRPr="00BC3F39">
              <w:rPr>
                <w:rFonts w:ascii="Tahoma" w:hAnsi="Tahoma" w:cs="Tahoma"/>
                <w:noProof/>
                <w:sz w:val="22"/>
                <w:szCs w:val="22"/>
              </w:rPr>
              <w:t xml:space="preserve"> </w:t>
            </w:r>
          </w:p>
        </w:tc>
      </w:tr>
    </w:tbl>
    <w:p w:rsidR="001E4D1E" w:rsidRPr="00BC3F39" w:rsidRDefault="001E4D1E" w:rsidP="003211E0">
      <w:pPr>
        <w:spacing w:after="160"/>
        <w:jc w:val="both"/>
        <w:rPr>
          <w:rFonts w:ascii="Tahoma" w:hAnsi="Tahoma" w:cs="Tahoma"/>
          <w:b/>
          <w:sz w:val="22"/>
          <w:szCs w:val="22"/>
        </w:rPr>
      </w:pPr>
      <w:r w:rsidRPr="00BC3F39">
        <w:rPr>
          <w:rFonts w:ascii="Tahoma" w:hAnsi="Tahoma" w:cs="Tahoma"/>
          <w:b/>
          <w:sz w:val="22"/>
          <w:szCs w:val="22"/>
        </w:rPr>
        <w:lastRenderedPageBreak/>
        <w:t xml:space="preserve">Anexo </w:t>
      </w:r>
      <w:r w:rsidR="002157FC" w:rsidRPr="00BC3F39">
        <w:rPr>
          <w:rFonts w:ascii="Tahoma" w:hAnsi="Tahoma" w:cs="Tahoma"/>
          <w:b/>
          <w:sz w:val="22"/>
          <w:szCs w:val="22"/>
        </w:rPr>
        <w:t>1</w:t>
      </w:r>
      <w:r w:rsidRPr="00BC3F39">
        <w:rPr>
          <w:rFonts w:ascii="Tahoma" w:hAnsi="Tahoma" w:cs="Tahoma"/>
          <w:b/>
          <w:sz w:val="22"/>
          <w:szCs w:val="22"/>
        </w:rPr>
        <w:t>.</w:t>
      </w:r>
      <w:r w:rsidR="002157FC" w:rsidRPr="00BC3F39">
        <w:rPr>
          <w:rFonts w:ascii="Tahoma" w:hAnsi="Tahoma" w:cs="Tahoma"/>
          <w:b/>
          <w:sz w:val="22"/>
          <w:szCs w:val="22"/>
        </w:rPr>
        <w:t xml:space="preserve"> “Determinaci</w:t>
      </w:r>
      <w:r w:rsidR="00CC705D" w:rsidRPr="00BC3F39">
        <w:rPr>
          <w:rFonts w:ascii="Tahoma" w:hAnsi="Tahoma" w:cs="Tahoma"/>
          <w:b/>
          <w:sz w:val="22"/>
          <w:szCs w:val="22"/>
        </w:rPr>
        <w:t>ón del Saldo Mínimo de Caja</w:t>
      </w:r>
      <w:r w:rsidR="002157FC" w:rsidRPr="00BC3F39">
        <w:rPr>
          <w:rFonts w:ascii="Tahoma" w:hAnsi="Tahoma" w:cs="Tahoma"/>
          <w:b/>
          <w:sz w:val="22"/>
          <w:szCs w:val="22"/>
        </w:rPr>
        <w:t xml:space="preserve"> </w:t>
      </w:r>
      <w:r w:rsidR="00CC705D" w:rsidRPr="00BC3F39">
        <w:rPr>
          <w:rFonts w:ascii="Tahoma" w:hAnsi="Tahoma" w:cs="Tahoma"/>
          <w:b/>
          <w:sz w:val="22"/>
          <w:szCs w:val="22"/>
        </w:rPr>
        <w:t xml:space="preserve">(SMC) </w:t>
      </w:r>
      <w:r w:rsidR="002157FC" w:rsidRPr="00BC3F39">
        <w:rPr>
          <w:rFonts w:ascii="Tahoma" w:hAnsi="Tahoma" w:cs="Tahoma"/>
          <w:b/>
          <w:sz w:val="22"/>
          <w:szCs w:val="22"/>
        </w:rPr>
        <w:t>para la Tesorería”</w:t>
      </w:r>
    </w:p>
    <w:p w:rsidR="009A5455" w:rsidRPr="00BC3F39" w:rsidRDefault="009A5455" w:rsidP="003211E0">
      <w:pPr>
        <w:spacing w:after="160"/>
        <w:jc w:val="both"/>
        <w:rPr>
          <w:rFonts w:ascii="Tahoma" w:hAnsi="Tahoma" w:cs="Tahoma"/>
          <w:sz w:val="22"/>
          <w:szCs w:val="22"/>
        </w:rPr>
      </w:pPr>
      <w:r w:rsidRPr="00BC3F39">
        <w:rPr>
          <w:rFonts w:ascii="Tahoma" w:hAnsi="Tahoma" w:cs="Tahoma"/>
          <w:sz w:val="22"/>
          <w:szCs w:val="22"/>
        </w:rPr>
        <w:t>Tomando como base la muestra de las salidas semanales del 2016 y el presupuesto que se tiene para el 2017 el promedio simple de 104 muestras es de $ 4,220 mdp.</w:t>
      </w:r>
    </w:p>
    <w:p w:rsidR="001E4D1E" w:rsidRPr="00BC3F39" w:rsidRDefault="00CC705D" w:rsidP="003211E0">
      <w:pPr>
        <w:spacing w:after="160"/>
        <w:jc w:val="both"/>
        <w:rPr>
          <w:rFonts w:ascii="Tahoma" w:hAnsi="Tahoma" w:cs="Tahoma"/>
          <w:b/>
          <w:color w:val="000000" w:themeColor="text1"/>
          <w:sz w:val="22"/>
          <w:szCs w:val="22"/>
        </w:rPr>
      </w:pPr>
      <w:r w:rsidRPr="00BC3F39">
        <w:rPr>
          <w:rFonts w:ascii="Tahoma" w:hAnsi="Tahoma" w:cs="Tahoma"/>
          <w:sz w:val="22"/>
          <w:szCs w:val="22"/>
        </w:rPr>
        <w:t xml:space="preserve">Tomando el promedio simple + 3.0 desviación estándar, se determina como saldo mínimo de caja para la Tesorería </w:t>
      </w:r>
      <w:r w:rsidRPr="00BC3F39">
        <w:rPr>
          <w:rFonts w:ascii="Tahoma" w:hAnsi="Tahoma" w:cs="Tahoma"/>
          <w:b/>
          <w:bCs/>
          <w:sz w:val="22"/>
          <w:szCs w:val="22"/>
        </w:rPr>
        <w:t>$ 10,475 mdp.</w:t>
      </w:r>
    </w:p>
    <w:p w:rsidR="009A5455" w:rsidRPr="00BC3F39" w:rsidRDefault="00CC705D" w:rsidP="00CC705D">
      <w:pPr>
        <w:ind w:left="2832"/>
        <w:jc w:val="both"/>
        <w:rPr>
          <w:rFonts w:ascii="Tahoma" w:hAnsi="Tahoma" w:cs="Tahoma"/>
          <w:b/>
          <w:color w:val="000000" w:themeColor="text1"/>
          <w:sz w:val="22"/>
          <w:szCs w:val="22"/>
        </w:rPr>
      </w:pPr>
      <w:r w:rsidRPr="00BC3F39">
        <w:rPr>
          <w:rFonts w:ascii="Tahoma" w:hAnsi="Tahoma" w:cs="Tahoma"/>
          <w:b/>
          <w:noProof/>
          <w:color w:val="000000" w:themeColor="text1"/>
          <w:sz w:val="22"/>
          <w:szCs w:val="22"/>
        </w:rPr>
        <w:drawing>
          <wp:inline distT="0" distB="0" distL="0" distR="0" wp14:anchorId="5369DED4" wp14:editId="1F96483B">
            <wp:extent cx="2633663" cy="3609975"/>
            <wp:effectExtent l="0" t="0" r="0" b="0"/>
            <wp:docPr id="92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3663" cy="36099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2157FC" w:rsidRPr="00BC3F39" w:rsidRDefault="002157FC" w:rsidP="00770523">
      <w:pPr>
        <w:jc w:val="both"/>
        <w:rPr>
          <w:rFonts w:ascii="Tahoma" w:hAnsi="Tahoma" w:cs="Tahoma"/>
          <w:sz w:val="22"/>
          <w:szCs w:val="22"/>
        </w:rPr>
      </w:pPr>
    </w:p>
    <w:p w:rsidR="00CC705D" w:rsidRPr="00BC3F39" w:rsidRDefault="00CC705D">
      <w:pPr>
        <w:rPr>
          <w:rFonts w:ascii="Tahoma" w:hAnsi="Tahoma" w:cs="Tahoma"/>
          <w:sz w:val="22"/>
          <w:szCs w:val="22"/>
        </w:rPr>
      </w:pPr>
    </w:p>
    <w:p w:rsidR="002157FC" w:rsidRPr="00BC3F39" w:rsidRDefault="002157FC">
      <w:pPr>
        <w:rPr>
          <w:rFonts w:ascii="Tahoma" w:hAnsi="Tahoma" w:cs="Tahoma"/>
          <w:sz w:val="22"/>
          <w:szCs w:val="22"/>
        </w:rPr>
      </w:pPr>
      <w:r w:rsidRPr="00BC3F39">
        <w:rPr>
          <w:rFonts w:ascii="Tahoma" w:hAnsi="Tahoma" w:cs="Tahoma"/>
          <w:sz w:val="22"/>
          <w:szCs w:val="22"/>
        </w:rPr>
        <w:br w:type="page"/>
      </w:r>
    </w:p>
    <w:p w:rsidR="002157FC" w:rsidRPr="00BC3F39" w:rsidRDefault="002157FC" w:rsidP="003211E0">
      <w:pPr>
        <w:spacing w:after="160"/>
        <w:jc w:val="both"/>
        <w:rPr>
          <w:rFonts w:ascii="Tahoma" w:hAnsi="Tahoma" w:cs="Tahoma"/>
          <w:b/>
          <w:sz w:val="22"/>
          <w:szCs w:val="22"/>
        </w:rPr>
      </w:pPr>
      <w:r w:rsidRPr="00BC3F39">
        <w:rPr>
          <w:rFonts w:ascii="Tahoma" w:hAnsi="Tahoma" w:cs="Tahoma"/>
          <w:b/>
          <w:sz w:val="22"/>
          <w:szCs w:val="22"/>
        </w:rPr>
        <w:lastRenderedPageBreak/>
        <w:t xml:space="preserve">Anexo 2. “Determinación del </w:t>
      </w:r>
      <w:r w:rsidR="00CC705D" w:rsidRPr="00BC3F39">
        <w:rPr>
          <w:rFonts w:ascii="Tahoma" w:hAnsi="Tahoma" w:cs="Tahoma"/>
          <w:b/>
          <w:sz w:val="22"/>
          <w:szCs w:val="22"/>
        </w:rPr>
        <w:t>Monto M</w:t>
      </w:r>
      <w:r w:rsidRPr="00BC3F39">
        <w:rPr>
          <w:rFonts w:ascii="Tahoma" w:hAnsi="Tahoma" w:cs="Tahoma"/>
          <w:b/>
          <w:sz w:val="22"/>
          <w:szCs w:val="22"/>
        </w:rPr>
        <w:t xml:space="preserve">áximo de </w:t>
      </w:r>
      <w:r w:rsidR="00CC705D" w:rsidRPr="00BC3F39">
        <w:rPr>
          <w:rFonts w:ascii="Tahoma" w:hAnsi="Tahoma" w:cs="Tahoma"/>
          <w:b/>
          <w:sz w:val="22"/>
          <w:szCs w:val="22"/>
        </w:rPr>
        <w:t>R</w:t>
      </w:r>
      <w:r w:rsidRPr="00BC3F39">
        <w:rPr>
          <w:rFonts w:ascii="Tahoma" w:hAnsi="Tahoma" w:cs="Tahoma"/>
          <w:b/>
          <w:sz w:val="22"/>
          <w:szCs w:val="22"/>
        </w:rPr>
        <w:t xml:space="preserve">ecursos </w:t>
      </w:r>
      <w:r w:rsidR="001B07D6" w:rsidRPr="00BC3F39">
        <w:rPr>
          <w:rFonts w:ascii="Tahoma" w:hAnsi="Tahoma" w:cs="Tahoma"/>
          <w:b/>
          <w:sz w:val="22"/>
          <w:szCs w:val="22"/>
        </w:rPr>
        <w:t xml:space="preserve">(MMR) </w:t>
      </w:r>
      <w:r w:rsidRPr="00BC3F39">
        <w:rPr>
          <w:rFonts w:ascii="Tahoma" w:hAnsi="Tahoma" w:cs="Tahoma"/>
          <w:b/>
          <w:sz w:val="22"/>
          <w:szCs w:val="22"/>
        </w:rPr>
        <w:t>para la Tesorería”</w:t>
      </w:r>
    </w:p>
    <w:p w:rsidR="00BB4217" w:rsidRPr="00BC3F39" w:rsidRDefault="00BB4217" w:rsidP="003211E0">
      <w:pPr>
        <w:spacing w:after="160"/>
        <w:jc w:val="both"/>
        <w:rPr>
          <w:rFonts w:ascii="Tahoma" w:hAnsi="Tahoma" w:cs="Tahoma"/>
          <w:sz w:val="22"/>
          <w:szCs w:val="22"/>
        </w:rPr>
      </w:pPr>
      <w:r w:rsidRPr="00BC3F39">
        <w:rPr>
          <w:rFonts w:ascii="Tahoma" w:hAnsi="Tahoma" w:cs="Tahoma"/>
          <w:sz w:val="22"/>
          <w:szCs w:val="22"/>
        </w:rPr>
        <w:t>Para la determinación del monto máximo de recursos con que debe contar la Tesorería, se usó como muestra la información del flujo contable de 18 periodos bimestrales.</w:t>
      </w:r>
    </w:p>
    <w:p w:rsidR="00BB4217" w:rsidRPr="00BC3F39" w:rsidRDefault="00BB4217" w:rsidP="003211E0">
      <w:pPr>
        <w:spacing w:after="160"/>
        <w:jc w:val="both"/>
        <w:rPr>
          <w:rFonts w:ascii="Tahoma" w:hAnsi="Tahoma" w:cs="Tahoma"/>
          <w:color w:val="000000" w:themeColor="text1"/>
          <w:sz w:val="22"/>
          <w:szCs w:val="22"/>
        </w:rPr>
      </w:pPr>
      <w:r w:rsidRPr="00BC3F39">
        <w:rPr>
          <w:rFonts w:ascii="Tahoma" w:hAnsi="Tahoma" w:cs="Tahoma"/>
          <w:color w:val="000000" w:themeColor="text1"/>
          <w:sz w:val="22"/>
          <w:szCs w:val="22"/>
        </w:rPr>
        <w:t xml:space="preserve">El valor máximo estimado de pago en un bimestre de operación, con base en lo observado en 2015 y 2016 y el presupuesto 2017, es de </w:t>
      </w:r>
      <w:r w:rsidRPr="00BC3F39">
        <w:rPr>
          <w:rFonts w:ascii="Tahoma" w:hAnsi="Tahoma" w:cs="Tahoma"/>
          <w:b/>
          <w:color w:val="000000" w:themeColor="text1"/>
          <w:sz w:val="22"/>
          <w:szCs w:val="22"/>
        </w:rPr>
        <w:t>$32,679 mdp</w:t>
      </w:r>
      <w:r w:rsidRPr="00BC3F39">
        <w:rPr>
          <w:rFonts w:ascii="Tahoma" w:hAnsi="Tahoma" w:cs="Tahoma"/>
          <w:color w:val="000000" w:themeColor="text1"/>
          <w:sz w:val="22"/>
          <w:szCs w:val="22"/>
        </w:rPr>
        <w:t xml:space="preserve">. </w:t>
      </w:r>
    </w:p>
    <w:p w:rsidR="00CC705D" w:rsidRPr="00BC3F39" w:rsidRDefault="00CC705D" w:rsidP="003211E0">
      <w:pPr>
        <w:spacing w:after="160"/>
        <w:jc w:val="both"/>
        <w:rPr>
          <w:rFonts w:ascii="Tahoma" w:hAnsi="Tahoma" w:cs="Tahoma"/>
          <w:b/>
          <w:color w:val="000000" w:themeColor="text1"/>
          <w:sz w:val="22"/>
          <w:szCs w:val="22"/>
        </w:rPr>
      </w:pPr>
      <w:r w:rsidRPr="00BC3F39">
        <w:rPr>
          <w:rFonts w:ascii="Tahoma" w:hAnsi="Tahoma" w:cs="Tahoma"/>
          <w:sz w:val="22"/>
          <w:szCs w:val="22"/>
        </w:rPr>
        <w:t xml:space="preserve">Tomando el promedio simple + 2.0 desviación estándar, se determina como monto máximo de recursos para la Tesorería </w:t>
      </w:r>
      <w:r w:rsidRPr="00BC3F39">
        <w:rPr>
          <w:rFonts w:ascii="Tahoma" w:hAnsi="Tahoma" w:cs="Tahoma"/>
          <w:b/>
          <w:bCs/>
          <w:sz w:val="22"/>
          <w:szCs w:val="22"/>
        </w:rPr>
        <w:t>$ 33,687 mdp.</w:t>
      </w:r>
    </w:p>
    <w:p w:rsidR="00BB4217" w:rsidRPr="00BC3F39" w:rsidRDefault="00BB4217" w:rsidP="003211E0">
      <w:pPr>
        <w:spacing w:after="160"/>
        <w:jc w:val="both"/>
        <w:rPr>
          <w:rFonts w:ascii="Tahoma" w:hAnsi="Tahoma" w:cs="Tahoma"/>
          <w:color w:val="000000" w:themeColor="text1"/>
          <w:sz w:val="22"/>
          <w:szCs w:val="22"/>
        </w:rPr>
      </w:pPr>
      <w:r w:rsidRPr="00BC3F39">
        <w:rPr>
          <w:rFonts w:ascii="Tahoma" w:hAnsi="Tahoma" w:cs="Tahoma"/>
          <w:color w:val="000000" w:themeColor="text1"/>
          <w:sz w:val="22"/>
          <w:szCs w:val="22"/>
        </w:rPr>
        <w:t xml:space="preserve">Los recursos remanentes que tenga la Tesorería sobre este monto propuesto, se deberán transferir al </w:t>
      </w:r>
      <w:r w:rsidR="00602FA1">
        <w:rPr>
          <w:rFonts w:ascii="Tahoma" w:hAnsi="Tahoma" w:cs="Tahoma"/>
          <w:color w:val="000000" w:themeColor="text1"/>
          <w:sz w:val="22"/>
          <w:szCs w:val="22"/>
        </w:rPr>
        <w:t>FANVIT</w:t>
      </w:r>
      <w:r w:rsidRPr="00BC3F39">
        <w:rPr>
          <w:rFonts w:ascii="Tahoma" w:hAnsi="Tahoma" w:cs="Tahoma"/>
          <w:color w:val="000000" w:themeColor="text1"/>
          <w:sz w:val="22"/>
          <w:szCs w:val="22"/>
        </w:rPr>
        <w:t>.</w:t>
      </w:r>
    </w:p>
    <w:p w:rsidR="002157FC" w:rsidRPr="003211E0" w:rsidRDefault="00CC705D" w:rsidP="003211E0">
      <w:pPr>
        <w:ind w:left="2832"/>
        <w:jc w:val="both"/>
        <w:rPr>
          <w:rFonts w:ascii="Tahoma" w:hAnsi="Tahoma" w:cs="Tahoma"/>
          <w:color w:val="000000" w:themeColor="text1"/>
          <w:sz w:val="22"/>
          <w:szCs w:val="22"/>
        </w:rPr>
      </w:pPr>
      <w:r w:rsidRPr="00BC3F39">
        <w:rPr>
          <w:rFonts w:ascii="Tahoma" w:hAnsi="Tahoma" w:cs="Tahoma"/>
          <w:noProof/>
          <w:color w:val="000000" w:themeColor="text1"/>
          <w:sz w:val="22"/>
          <w:szCs w:val="22"/>
        </w:rPr>
        <w:drawing>
          <wp:inline distT="0" distB="0" distL="0" distR="0" wp14:anchorId="768100A1" wp14:editId="4E0228DB">
            <wp:extent cx="2659062" cy="3667125"/>
            <wp:effectExtent l="0" t="0" r="8255" b="0"/>
            <wp:docPr id="92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4"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062" cy="36671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sectPr w:rsidR="002157FC" w:rsidRPr="003211E0" w:rsidSect="0087697A">
      <w:headerReference w:type="default" r:id="rId12"/>
      <w:footerReference w:type="default" r:id="rId13"/>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615C" w:rsidRDefault="00F1615C">
      <w:r>
        <w:separator/>
      </w:r>
    </w:p>
  </w:endnote>
  <w:endnote w:type="continuationSeparator" w:id="0">
    <w:p w:rsidR="00F1615C" w:rsidRDefault="00F16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180" w:type="dxa"/>
      <w:tblInd w:w="-110" w:type="dxa"/>
      <w:tblLayout w:type="fixed"/>
      <w:tblCellMar>
        <w:left w:w="70" w:type="dxa"/>
        <w:right w:w="70" w:type="dxa"/>
      </w:tblCellMar>
      <w:tblLook w:val="0000" w:firstRow="0" w:lastRow="0" w:firstColumn="0" w:lastColumn="0" w:noHBand="0" w:noVBand="0"/>
    </w:tblPr>
    <w:tblGrid>
      <w:gridCol w:w="5846"/>
      <w:gridCol w:w="3334"/>
    </w:tblGrid>
    <w:tr w:rsidR="00657C55">
      <w:tc>
        <w:tcPr>
          <w:tcW w:w="5846" w:type="dxa"/>
        </w:tcPr>
        <w:p w:rsidR="00657C55" w:rsidRDefault="00657C55" w:rsidP="00BC3F39">
          <w:pPr>
            <w:rPr>
              <w:rFonts w:ascii="Tahoma" w:hAnsi="Tahoma"/>
              <w:color w:val="000000"/>
              <w:sz w:val="16"/>
            </w:rPr>
          </w:pPr>
        </w:p>
      </w:tc>
      <w:tc>
        <w:tcPr>
          <w:tcW w:w="3334" w:type="dxa"/>
        </w:tcPr>
        <w:p w:rsidR="00657C55" w:rsidRDefault="00657C55" w:rsidP="009A01C9">
          <w:pPr>
            <w:pStyle w:val="Piedepgina"/>
            <w:tabs>
              <w:tab w:val="center" w:pos="4860"/>
              <w:tab w:val="right" w:pos="9900"/>
            </w:tabs>
            <w:jc w:val="right"/>
            <w:rPr>
              <w:rFonts w:ascii="Tahoma" w:hAnsi="Tahoma"/>
              <w:color w:val="000000"/>
              <w:sz w:val="16"/>
            </w:rPr>
          </w:pPr>
        </w:p>
      </w:tc>
    </w:tr>
    <w:tr w:rsidR="00657C55">
      <w:tc>
        <w:tcPr>
          <w:tcW w:w="5846" w:type="dxa"/>
        </w:tcPr>
        <w:p w:rsidR="00657C55" w:rsidRDefault="00657C55" w:rsidP="009A01C9">
          <w:pPr>
            <w:pStyle w:val="Piedepgina"/>
            <w:tabs>
              <w:tab w:val="center" w:pos="4860"/>
              <w:tab w:val="right" w:pos="9900"/>
            </w:tabs>
            <w:rPr>
              <w:rFonts w:ascii="Tahoma" w:hAnsi="Tahoma"/>
              <w:color w:val="000000"/>
              <w:sz w:val="16"/>
            </w:rPr>
          </w:pPr>
        </w:p>
      </w:tc>
      <w:tc>
        <w:tcPr>
          <w:tcW w:w="3334" w:type="dxa"/>
        </w:tcPr>
        <w:p w:rsidR="00657C55" w:rsidRPr="00884FDC" w:rsidRDefault="00657C55" w:rsidP="009A01C9">
          <w:pPr>
            <w:pStyle w:val="Piedepgina"/>
            <w:tabs>
              <w:tab w:val="center" w:pos="4860"/>
              <w:tab w:val="right" w:pos="9900"/>
            </w:tabs>
            <w:jc w:val="right"/>
            <w:rPr>
              <w:rFonts w:ascii="Tahoma" w:hAnsi="Tahoma" w:cs="Tahoma"/>
              <w:color w:val="000000"/>
              <w:sz w:val="20"/>
              <w:szCs w:val="20"/>
            </w:rPr>
          </w:pPr>
          <w:r w:rsidRPr="00884FDC">
            <w:rPr>
              <w:rStyle w:val="Nmerodepgina"/>
              <w:rFonts w:ascii="Tahoma" w:hAnsi="Tahoma" w:cs="Tahoma"/>
              <w:sz w:val="20"/>
              <w:szCs w:val="20"/>
            </w:rPr>
            <w:fldChar w:fldCharType="begin"/>
          </w:r>
          <w:r w:rsidRPr="00884FDC">
            <w:rPr>
              <w:rStyle w:val="Nmerodepgina"/>
              <w:rFonts w:ascii="Tahoma" w:hAnsi="Tahoma" w:cs="Tahoma"/>
              <w:sz w:val="20"/>
              <w:szCs w:val="20"/>
            </w:rPr>
            <w:instrText xml:space="preserve"> PAGE </w:instrText>
          </w:r>
          <w:r w:rsidRPr="00884FDC">
            <w:rPr>
              <w:rStyle w:val="Nmerodepgina"/>
              <w:rFonts w:ascii="Tahoma" w:hAnsi="Tahoma" w:cs="Tahoma"/>
              <w:sz w:val="20"/>
              <w:szCs w:val="20"/>
            </w:rPr>
            <w:fldChar w:fldCharType="separate"/>
          </w:r>
          <w:r w:rsidR="00F32DBA">
            <w:rPr>
              <w:rStyle w:val="Nmerodepgina"/>
              <w:rFonts w:ascii="Tahoma" w:hAnsi="Tahoma" w:cs="Tahoma"/>
              <w:noProof/>
              <w:sz w:val="20"/>
              <w:szCs w:val="20"/>
            </w:rPr>
            <w:t>10</w:t>
          </w:r>
          <w:r w:rsidRPr="00884FDC">
            <w:rPr>
              <w:rStyle w:val="Nmerodepgina"/>
              <w:rFonts w:ascii="Tahoma" w:hAnsi="Tahoma" w:cs="Tahoma"/>
              <w:sz w:val="20"/>
              <w:szCs w:val="20"/>
            </w:rPr>
            <w:fldChar w:fldCharType="end"/>
          </w:r>
        </w:p>
      </w:tc>
    </w:tr>
  </w:tbl>
  <w:p w:rsidR="00657C55" w:rsidRDefault="00657C5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615C" w:rsidRDefault="00F1615C">
      <w:r>
        <w:separator/>
      </w:r>
    </w:p>
  </w:footnote>
  <w:footnote w:type="continuationSeparator" w:id="0">
    <w:p w:rsidR="00F1615C" w:rsidRDefault="00F1615C">
      <w:r>
        <w:continuationSeparator/>
      </w:r>
    </w:p>
  </w:footnote>
  <w:footnote w:id="1">
    <w:p w:rsidR="00915D8A" w:rsidRPr="00745E13" w:rsidRDefault="00915D8A">
      <w:pPr>
        <w:pStyle w:val="Textonotapie"/>
        <w:rPr>
          <w:rFonts w:ascii="Tahoma" w:hAnsi="Tahoma" w:cs="Tahoma"/>
          <w:sz w:val="16"/>
        </w:rPr>
      </w:pPr>
      <w:r w:rsidRPr="00C406E1">
        <w:rPr>
          <w:rStyle w:val="Refdenotaalpie"/>
        </w:rPr>
        <w:footnoteRef/>
      </w:r>
      <w:r w:rsidRPr="00C406E1">
        <w:t xml:space="preserve"> </w:t>
      </w:r>
      <w:r w:rsidRPr="00745E13">
        <w:rPr>
          <w:rFonts w:ascii="Tahoma" w:hAnsi="Tahoma" w:cs="Tahoma"/>
          <w:sz w:val="16"/>
        </w:rPr>
        <w:t xml:space="preserve">Véase anexo </w:t>
      </w:r>
      <w:r w:rsidR="001679D1" w:rsidRPr="00745E13">
        <w:rPr>
          <w:rFonts w:ascii="Tahoma" w:hAnsi="Tahoma" w:cs="Tahoma"/>
          <w:sz w:val="16"/>
        </w:rPr>
        <w:t>1</w:t>
      </w:r>
      <w:r w:rsidR="003F6007" w:rsidRPr="00745E13">
        <w:rPr>
          <w:rFonts w:ascii="Tahoma" w:hAnsi="Tahoma" w:cs="Tahoma"/>
          <w:sz w:val="16"/>
        </w:rPr>
        <w:t xml:space="preserve"> </w:t>
      </w:r>
      <w:r w:rsidR="00733A93" w:rsidRPr="00745E13">
        <w:rPr>
          <w:rFonts w:ascii="Tahoma" w:hAnsi="Tahoma" w:cs="Tahoma"/>
          <w:sz w:val="16"/>
        </w:rPr>
        <w:t>“</w:t>
      </w:r>
      <w:r w:rsidR="00E77C59" w:rsidRPr="00745E13">
        <w:rPr>
          <w:rFonts w:ascii="Tahoma" w:hAnsi="Tahoma" w:cs="Tahoma"/>
          <w:sz w:val="16"/>
        </w:rPr>
        <w:t xml:space="preserve">Determinación del </w:t>
      </w:r>
      <w:r w:rsidR="00733A93" w:rsidRPr="00745E13">
        <w:rPr>
          <w:rFonts w:ascii="Tahoma" w:hAnsi="Tahoma" w:cs="Tahoma"/>
          <w:sz w:val="16"/>
        </w:rPr>
        <w:t>saldo</w:t>
      </w:r>
      <w:r w:rsidRPr="00745E13">
        <w:rPr>
          <w:rFonts w:ascii="Tahoma" w:hAnsi="Tahoma" w:cs="Tahoma"/>
          <w:sz w:val="16"/>
        </w:rPr>
        <w:t xml:space="preserve"> mínimo de </w:t>
      </w:r>
      <w:r w:rsidR="00E77C59" w:rsidRPr="00745E13">
        <w:rPr>
          <w:rFonts w:ascii="Tahoma" w:hAnsi="Tahoma" w:cs="Tahoma"/>
          <w:sz w:val="16"/>
        </w:rPr>
        <w:t>operación para la Tesorería</w:t>
      </w:r>
      <w:r w:rsidR="00733A93" w:rsidRPr="00745E13">
        <w:rPr>
          <w:rFonts w:ascii="Tahoma" w:hAnsi="Tahoma" w:cs="Tahoma"/>
          <w:sz w:val="16"/>
        </w:rPr>
        <w:t>”</w:t>
      </w:r>
      <w:r w:rsidRPr="00745E13">
        <w:rPr>
          <w:rFonts w:ascii="Tahoma" w:hAnsi="Tahoma" w:cs="Tahoma"/>
          <w:sz w:val="16"/>
        </w:rPr>
        <w:t>.</w:t>
      </w:r>
    </w:p>
  </w:footnote>
  <w:footnote w:id="2">
    <w:p w:rsidR="003F6007" w:rsidRPr="00745E13" w:rsidRDefault="003F6007">
      <w:pPr>
        <w:pStyle w:val="Textonotapie"/>
        <w:rPr>
          <w:rFonts w:ascii="Tahoma" w:hAnsi="Tahoma" w:cs="Tahoma"/>
          <w:sz w:val="16"/>
          <w:lang w:val="es-MX"/>
        </w:rPr>
      </w:pPr>
      <w:r w:rsidRPr="00745E13">
        <w:rPr>
          <w:rStyle w:val="Refdenotaalpie"/>
          <w:rFonts w:ascii="Tahoma" w:hAnsi="Tahoma" w:cs="Tahoma"/>
          <w:sz w:val="16"/>
        </w:rPr>
        <w:footnoteRef/>
      </w:r>
      <w:r w:rsidRPr="00745E13">
        <w:rPr>
          <w:rFonts w:ascii="Tahoma" w:hAnsi="Tahoma" w:cs="Tahoma"/>
          <w:sz w:val="16"/>
        </w:rPr>
        <w:t xml:space="preserve"> </w:t>
      </w:r>
      <w:r w:rsidRPr="00745E13">
        <w:rPr>
          <w:rFonts w:ascii="Tahoma" w:hAnsi="Tahoma" w:cs="Tahoma"/>
          <w:sz w:val="16"/>
          <w:lang w:val="es-MX"/>
        </w:rPr>
        <w:t xml:space="preserve">Véase anexo </w:t>
      </w:r>
      <w:r w:rsidR="001679D1" w:rsidRPr="00745E13">
        <w:rPr>
          <w:rFonts w:ascii="Tahoma" w:hAnsi="Tahoma" w:cs="Tahoma"/>
          <w:sz w:val="16"/>
          <w:lang w:val="es-MX"/>
        </w:rPr>
        <w:t>2</w:t>
      </w:r>
      <w:r w:rsidRPr="00745E13">
        <w:rPr>
          <w:rFonts w:ascii="Tahoma" w:hAnsi="Tahoma" w:cs="Tahoma"/>
          <w:sz w:val="16"/>
          <w:lang w:val="es-MX"/>
        </w:rPr>
        <w:t xml:space="preserve"> </w:t>
      </w:r>
      <w:r w:rsidR="0024237F" w:rsidRPr="00745E13">
        <w:rPr>
          <w:rFonts w:ascii="Tahoma" w:hAnsi="Tahoma" w:cs="Tahoma"/>
          <w:sz w:val="16"/>
          <w:lang w:val="es-MX"/>
        </w:rPr>
        <w:t xml:space="preserve">“Determinación del </w:t>
      </w:r>
      <w:r w:rsidRPr="00745E13">
        <w:rPr>
          <w:rFonts w:ascii="Tahoma" w:hAnsi="Tahoma" w:cs="Tahoma"/>
          <w:sz w:val="16"/>
          <w:lang w:val="es-MX"/>
        </w:rPr>
        <w:t xml:space="preserve">monto </w:t>
      </w:r>
      <w:r w:rsidR="001679D1" w:rsidRPr="00745E13">
        <w:rPr>
          <w:rFonts w:ascii="Tahoma" w:hAnsi="Tahoma" w:cs="Tahoma"/>
          <w:sz w:val="16"/>
          <w:lang w:val="es-MX"/>
        </w:rPr>
        <w:t xml:space="preserve">máximo de recursos </w:t>
      </w:r>
      <w:r w:rsidR="0024237F" w:rsidRPr="00745E13">
        <w:rPr>
          <w:rFonts w:ascii="Tahoma" w:hAnsi="Tahoma" w:cs="Tahoma"/>
          <w:sz w:val="16"/>
          <w:lang w:val="es-MX"/>
        </w:rPr>
        <w:t>para</w:t>
      </w:r>
      <w:r w:rsidR="001679D1" w:rsidRPr="00745E13">
        <w:rPr>
          <w:rFonts w:ascii="Tahoma" w:hAnsi="Tahoma" w:cs="Tahoma"/>
          <w:sz w:val="16"/>
          <w:lang w:val="es-MX"/>
        </w:rPr>
        <w:t xml:space="preserve"> la </w:t>
      </w:r>
      <w:r w:rsidR="0024237F" w:rsidRPr="00745E13">
        <w:rPr>
          <w:rFonts w:ascii="Tahoma" w:hAnsi="Tahoma" w:cs="Tahoma"/>
          <w:sz w:val="16"/>
          <w:lang w:val="es-MX"/>
        </w:rPr>
        <w:t>T</w:t>
      </w:r>
      <w:r w:rsidR="001679D1" w:rsidRPr="00745E13">
        <w:rPr>
          <w:rFonts w:ascii="Tahoma" w:hAnsi="Tahoma" w:cs="Tahoma"/>
          <w:sz w:val="16"/>
          <w:lang w:val="es-MX"/>
        </w:rPr>
        <w:t>esorería</w:t>
      </w:r>
      <w:r w:rsidR="0024237F" w:rsidRPr="00745E13">
        <w:rPr>
          <w:rFonts w:ascii="Tahoma" w:hAnsi="Tahoma" w:cs="Tahoma"/>
          <w:sz w:val="16"/>
          <w:lang w:val="es-MX"/>
        </w:rPr>
        <w:t>”</w:t>
      </w:r>
      <w:r w:rsidRPr="00745E13">
        <w:rPr>
          <w:rFonts w:ascii="Tahoma" w:hAnsi="Tahoma" w:cs="Tahoma"/>
          <w:sz w:val="16"/>
          <w:lang w:val="es-MX"/>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7C55" w:rsidRPr="00131DED" w:rsidRDefault="00657C55" w:rsidP="00ED1763">
    <w:pPr>
      <w:pStyle w:val="Encabezado"/>
      <w:rPr>
        <w:rFonts w:ascii="Tahoma" w:hAnsi="Tahoma"/>
        <w:noProof/>
        <w:color w:val="808080"/>
        <w:lang w:val="es-MX" w:eastAsia="es-MX"/>
      </w:rPr>
    </w:pPr>
  </w:p>
  <w:p w:rsidR="00657C55" w:rsidRPr="00375713" w:rsidRDefault="00657C55" w:rsidP="00ED1763">
    <w:pPr>
      <w:pStyle w:val="Encabezado"/>
      <w:rPr>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15F9A"/>
    <w:multiLevelType w:val="hybridMultilevel"/>
    <w:tmpl w:val="150025A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625329"/>
    <w:multiLevelType w:val="hybridMultilevel"/>
    <w:tmpl w:val="03F641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D97F1C"/>
    <w:multiLevelType w:val="hybridMultilevel"/>
    <w:tmpl w:val="463265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EC14DC"/>
    <w:multiLevelType w:val="hybridMultilevel"/>
    <w:tmpl w:val="0FDAA0D6"/>
    <w:lvl w:ilvl="0" w:tplc="058C36DC">
      <w:numFmt w:val="bullet"/>
      <w:lvlText w:val="•"/>
      <w:lvlJc w:val="left"/>
      <w:pPr>
        <w:ind w:left="1065" w:hanging="705"/>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1523137"/>
    <w:multiLevelType w:val="hybridMultilevel"/>
    <w:tmpl w:val="AD7AACB8"/>
    <w:lvl w:ilvl="0" w:tplc="E306F72C">
      <w:start w:val="1"/>
      <w:numFmt w:val="bullet"/>
      <w:lvlText w:val=""/>
      <w:lvlJc w:val="left"/>
      <w:pPr>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5A0539"/>
    <w:multiLevelType w:val="hybridMultilevel"/>
    <w:tmpl w:val="A04062C4"/>
    <w:lvl w:ilvl="0" w:tplc="480ED266">
      <w:start w:val="1"/>
      <w:numFmt w:val="bullet"/>
      <w:lvlText w:val=""/>
      <w:lvlJc w:val="left"/>
      <w:pPr>
        <w:tabs>
          <w:tab w:val="num" w:pos="720"/>
        </w:tabs>
        <w:ind w:left="720" w:firstLine="131"/>
      </w:pPr>
      <w:rPr>
        <w:rFonts w:ascii="Wingdings" w:hAnsi="Wingdings" w:hint="default"/>
      </w:rPr>
    </w:lvl>
    <w:lvl w:ilvl="1" w:tplc="080A0019">
      <w:start w:val="1"/>
      <w:numFmt w:val="lowerLetter"/>
      <w:lvlText w:val="%2."/>
      <w:lvlJc w:val="left"/>
      <w:pPr>
        <w:tabs>
          <w:tab w:val="num" w:pos="1440"/>
        </w:tabs>
        <w:ind w:left="1440" w:hanging="360"/>
      </w:pPr>
    </w:lvl>
    <w:lvl w:ilvl="2" w:tplc="080A0001">
      <w:start w:val="1"/>
      <w:numFmt w:val="bullet"/>
      <w:lvlText w:val=""/>
      <w:lvlJc w:val="left"/>
      <w:pPr>
        <w:tabs>
          <w:tab w:val="num" w:pos="2160"/>
        </w:tabs>
        <w:ind w:left="2160" w:hanging="180"/>
      </w:pPr>
      <w:rPr>
        <w:rFonts w:ascii="Symbol" w:hAnsi="Symbol" w:hint="default"/>
      </w:r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6" w15:restartNumberingAfterBreak="0">
    <w:nsid w:val="18413733"/>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D3409AB"/>
    <w:multiLevelType w:val="hybridMultilevel"/>
    <w:tmpl w:val="6AE67CD2"/>
    <w:lvl w:ilvl="0" w:tplc="83525EC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FB513C4"/>
    <w:multiLevelType w:val="hybridMultilevel"/>
    <w:tmpl w:val="F3884E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403325A"/>
    <w:multiLevelType w:val="hybridMultilevel"/>
    <w:tmpl w:val="449A5626"/>
    <w:lvl w:ilvl="0" w:tplc="1504A592">
      <w:start w:val="1"/>
      <w:numFmt w:val="upperRoman"/>
      <w:lvlText w:val="%1."/>
      <w:lvlJc w:val="left"/>
      <w:pPr>
        <w:ind w:left="1080" w:hanging="720"/>
      </w:pPr>
      <w:rPr>
        <w:rFonts w:ascii="Times New Roman" w:hAnsi="Times New Roman" w:cs="Times New Roman"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A30BCB"/>
    <w:multiLevelType w:val="hybridMultilevel"/>
    <w:tmpl w:val="D570B230"/>
    <w:lvl w:ilvl="0" w:tplc="080A0017">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5F4A15"/>
    <w:multiLevelType w:val="hybridMultilevel"/>
    <w:tmpl w:val="2B860C00"/>
    <w:lvl w:ilvl="0" w:tplc="D736EE3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6964E69"/>
    <w:multiLevelType w:val="hybridMultilevel"/>
    <w:tmpl w:val="BE64A9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8BD59A6"/>
    <w:multiLevelType w:val="hybridMultilevel"/>
    <w:tmpl w:val="DEEA72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EDF2B60"/>
    <w:multiLevelType w:val="hybridMultilevel"/>
    <w:tmpl w:val="31F0355A"/>
    <w:lvl w:ilvl="0" w:tplc="71428F3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5" w15:restartNumberingAfterBreak="0">
    <w:nsid w:val="3F77082F"/>
    <w:multiLevelType w:val="hybridMultilevel"/>
    <w:tmpl w:val="D42C39D6"/>
    <w:lvl w:ilvl="0" w:tplc="080A000F">
      <w:start w:val="1"/>
      <w:numFmt w:val="decimal"/>
      <w:lvlText w:val="%1."/>
      <w:lvlJc w:val="left"/>
      <w:pPr>
        <w:ind w:left="1428" w:hanging="360"/>
      </w:pPr>
    </w:lvl>
    <w:lvl w:ilvl="1" w:tplc="080A001B">
      <w:start w:val="1"/>
      <w:numFmt w:val="lowerRoman"/>
      <w:lvlText w:val="%2."/>
      <w:lvlJc w:val="righ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42906216"/>
    <w:multiLevelType w:val="hybridMultilevel"/>
    <w:tmpl w:val="C8D8A12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15:restartNumberingAfterBreak="0">
    <w:nsid w:val="48E41DEE"/>
    <w:multiLevelType w:val="hybridMultilevel"/>
    <w:tmpl w:val="8C6C7A7A"/>
    <w:lvl w:ilvl="0" w:tplc="0EC4D064">
      <w:start w:val="1"/>
      <w:numFmt w:val="lowerLetter"/>
      <w:lvlText w:val="%1)"/>
      <w:lvlJc w:val="left"/>
      <w:pPr>
        <w:tabs>
          <w:tab w:val="num" w:pos="720"/>
        </w:tabs>
        <w:ind w:left="720" w:hanging="360"/>
      </w:pPr>
      <w:rPr>
        <w:rFonts w:hint="default"/>
      </w:rPr>
    </w:lvl>
    <w:lvl w:ilvl="1" w:tplc="7DEE9510">
      <w:start w:val="1"/>
      <w:numFmt w:val="decimal"/>
      <w:lvlText w:val="%2."/>
      <w:lvlJc w:val="left"/>
      <w:pPr>
        <w:tabs>
          <w:tab w:val="num" w:pos="1440"/>
        </w:tabs>
        <w:ind w:left="1440" w:hanging="360"/>
      </w:pPr>
      <w:rPr>
        <w:rFonts w:hint="default"/>
      </w:r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8" w15:restartNumberingAfterBreak="0">
    <w:nsid w:val="492012CB"/>
    <w:multiLevelType w:val="hybridMultilevel"/>
    <w:tmpl w:val="D570B230"/>
    <w:lvl w:ilvl="0" w:tplc="080A0017">
      <w:start w:val="1"/>
      <w:numFmt w:val="lowerLetter"/>
      <w:lvlText w:val="%1)"/>
      <w:lvlJc w:val="left"/>
      <w:pPr>
        <w:ind w:left="720" w:hanging="360"/>
      </w:pPr>
      <w:rPr>
        <w:rFonts w:hint="default"/>
        <w:b/>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C9651AF"/>
    <w:multiLevelType w:val="hybridMultilevel"/>
    <w:tmpl w:val="DF901DB6"/>
    <w:lvl w:ilvl="0" w:tplc="080A000F">
      <w:start w:val="1"/>
      <w:numFmt w:val="decimal"/>
      <w:lvlText w:val="%1."/>
      <w:lvlJc w:val="left"/>
      <w:pPr>
        <w:ind w:left="776" w:hanging="360"/>
      </w:pPr>
    </w:lvl>
    <w:lvl w:ilvl="1" w:tplc="080A0019" w:tentative="1">
      <w:start w:val="1"/>
      <w:numFmt w:val="lowerLetter"/>
      <w:lvlText w:val="%2."/>
      <w:lvlJc w:val="left"/>
      <w:pPr>
        <w:ind w:left="1496" w:hanging="360"/>
      </w:pPr>
    </w:lvl>
    <w:lvl w:ilvl="2" w:tplc="080A001B" w:tentative="1">
      <w:start w:val="1"/>
      <w:numFmt w:val="lowerRoman"/>
      <w:lvlText w:val="%3."/>
      <w:lvlJc w:val="right"/>
      <w:pPr>
        <w:ind w:left="2216" w:hanging="180"/>
      </w:pPr>
    </w:lvl>
    <w:lvl w:ilvl="3" w:tplc="080A000F" w:tentative="1">
      <w:start w:val="1"/>
      <w:numFmt w:val="decimal"/>
      <w:lvlText w:val="%4."/>
      <w:lvlJc w:val="left"/>
      <w:pPr>
        <w:ind w:left="2936" w:hanging="360"/>
      </w:pPr>
    </w:lvl>
    <w:lvl w:ilvl="4" w:tplc="080A0019" w:tentative="1">
      <w:start w:val="1"/>
      <w:numFmt w:val="lowerLetter"/>
      <w:lvlText w:val="%5."/>
      <w:lvlJc w:val="left"/>
      <w:pPr>
        <w:ind w:left="3656" w:hanging="360"/>
      </w:pPr>
    </w:lvl>
    <w:lvl w:ilvl="5" w:tplc="080A001B" w:tentative="1">
      <w:start w:val="1"/>
      <w:numFmt w:val="lowerRoman"/>
      <w:lvlText w:val="%6."/>
      <w:lvlJc w:val="right"/>
      <w:pPr>
        <w:ind w:left="4376" w:hanging="180"/>
      </w:pPr>
    </w:lvl>
    <w:lvl w:ilvl="6" w:tplc="080A000F" w:tentative="1">
      <w:start w:val="1"/>
      <w:numFmt w:val="decimal"/>
      <w:lvlText w:val="%7."/>
      <w:lvlJc w:val="left"/>
      <w:pPr>
        <w:ind w:left="5096" w:hanging="360"/>
      </w:pPr>
    </w:lvl>
    <w:lvl w:ilvl="7" w:tplc="080A0019" w:tentative="1">
      <w:start w:val="1"/>
      <w:numFmt w:val="lowerLetter"/>
      <w:lvlText w:val="%8."/>
      <w:lvlJc w:val="left"/>
      <w:pPr>
        <w:ind w:left="5816" w:hanging="360"/>
      </w:pPr>
    </w:lvl>
    <w:lvl w:ilvl="8" w:tplc="080A001B" w:tentative="1">
      <w:start w:val="1"/>
      <w:numFmt w:val="lowerRoman"/>
      <w:lvlText w:val="%9."/>
      <w:lvlJc w:val="right"/>
      <w:pPr>
        <w:ind w:left="6536" w:hanging="180"/>
      </w:pPr>
    </w:lvl>
  </w:abstractNum>
  <w:abstractNum w:abstractNumId="20" w15:restartNumberingAfterBreak="0">
    <w:nsid w:val="4D81121E"/>
    <w:multiLevelType w:val="hybridMultilevel"/>
    <w:tmpl w:val="5A1C5614"/>
    <w:lvl w:ilvl="0" w:tplc="0C0A0001">
      <w:start w:val="1"/>
      <w:numFmt w:val="bullet"/>
      <w:lvlText w:val=""/>
      <w:lvlJc w:val="left"/>
      <w:pPr>
        <w:tabs>
          <w:tab w:val="num" w:pos="729"/>
        </w:tabs>
        <w:ind w:left="729" w:hanging="360"/>
      </w:pPr>
      <w:rPr>
        <w:rFonts w:ascii="Symbol" w:hAnsi="Symbol" w:hint="default"/>
      </w:rPr>
    </w:lvl>
    <w:lvl w:ilvl="1" w:tplc="0C0A0003" w:tentative="1">
      <w:start w:val="1"/>
      <w:numFmt w:val="bullet"/>
      <w:lvlText w:val="o"/>
      <w:lvlJc w:val="left"/>
      <w:pPr>
        <w:tabs>
          <w:tab w:val="num" w:pos="1449"/>
        </w:tabs>
        <w:ind w:left="1449" w:hanging="360"/>
      </w:pPr>
      <w:rPr>
        <w:rFonts w:ascii="Courier New" w:hAnsi="Courier New" w:cs="Courier New" w:hint="default"/>
      </w:rPr>
    </w:lvl>
    <w:lvl w:ilvl="2" w:tplc="0C0A0005" w:tentative="1">
      <w:start w:val="1"/>
      <w:numFmt w:val="bullet"/>
      <w:lvlText w:val=""/>
      <w:lvlJc w:val="left"/>
      <w:pPr>
        <w:tabs>
          <w:tab w:val="num" w:pos="2169"/>
        </w:tabs>
        <w:ind w:left="2169" w:hanging="360"/>
      </w:pPr>
      <w:rPr>
        <w:rFonts w:ascii="Wingdings" w:hAnsi="Wingdings" w:hint="default"/>
      </w:rPr>
    </w:lvl>
    <w:lvl w:ilvl="3" w:tplc="0C0A0001" w:tentative="1">
      <w:start w:val="1"/>
      <w:numFmt w:val="bullet"/>
      <w:lvlText w:val=""/>
      <w:lvlJc w:val="left"/>
      <w:pPr>
        <w:tabs>
          <w:tab w:val="num" w:pos="2889"/>
        </w:tabs>
        <w:ind w:left="2889" w:hanging="360"/>
      </w:pPr>
      <w:rPr>
        <w:rFonts w:ascii="Symbol" w:hAnsi="Symbol" w:hint="default"/>
      </w:rPr>
    </w:lvl>
    <w:lvl w:ilvl="4" w:tplc="0C0A0003" w:tentative="1">
      <w:start w:val="1"/>
      <w:numFmt w:val="bullet"/>
      <w:lvlText w:val="o"/>
      <w:lvlJc w:val="left"/>
      <w:pPr>
        <w:tabs>
          <w:tab w:val="num" w:pos="3609"/>
        </w:tabs>
        <w:ind w:left="3609" w:hanging="360"/>
      </w:pPr>
      <w:rPr>
        <w:rFonts w:ascii="Courier New" w:hAnsi="Courier New" w:cs="Courier New" w:hint="default"/>
      </w:rPr>
    </w:lvl>
    <w:lvl w:ilvl="5" w:tplc="0C0A0005" w:tentative="1">
      <w:start w:val="1"/>
      <w:numFmt w:val="bullet"/>
      <w:lvlText w:val=""/>
      <w:lvlJc w:val="left"/>
      <w:pPr>
        <w:tabs>
          <w:tab w:val="num" w:pos="4329"/>
        </w:tabs>
        <w:ind w:left="4329" w:hanging="360"/>
      </w:pPr>
      <w:rPr>
        <w:rFonts w:ascii="Wingdings" w:hAnsi="Wingdings" w:hint="default"/>
      </w:rPr>
    </w:lvl>
    <w:lvl w:ilvl="6" w:tplc="0C0A0001" w:tentative="1">
      <w:start w:val="1"/>
      <w:numFmt w:val="bullet"/>
      <w:lvlText w:val=""/>
      <w:lvlJc w:val="left"/>
      <w:pPr>
        <w:tabs>
          <w:tab w:val="num" w:pos="5049"/>
        </w:tabs>
        <w:ind w:left="5049" w:hanging="360"/>
      </w:pPr>
      <w:rPr>
        <w:rFonts w:ascii="Symbol" w:hAnsi="Symbol" w:hint="default"/>
      </w:rPr>
    </w:lvl>
    <w:lvl w:ilvl="7" w:tplc="0C0A0003" w:tentative="1">
      <w:start w:val="1"/>
      <w:numFmt w:val="bullet"/>
      <w:lvlText w:val="o"/>
      <w:lvlJc w:val="left"/>
      <w:pPr>
        <w:tabs>
          <w:tab w:val="num" w:pos="5769"/>
        </w:tabs>
        <w:ind w:left="5769" w:hanging="360"/>
      </w:pPr>
      <w:rPr>
        <w:rFonts w:ascii="Courier New" w:hAnsi="Courier New" w:cs="Courier New" w:hint="default"/>
      </w:rPr>
    </w:lvl>
    <w:lvl w:ilvl="8" w:tplc="0C0A0005" w:tentative="1">
      <w:start w:val="1"/>
      <w:numFmt w:val="bullet"/>
      <w:lvlText w:val=""/>
      <w:lvlJc w:val="left"/>
      <w:pPr>
        <w:tabs>
          <w:tab w:val="num" w:pos="6489"/>
        </w:tabs>
        <w:ind w:left="6489" w:hanging="360"/>
      </w:pPr>
      <w:rPr>
        <w:rFonts w:ascii="Wingdings" w:hAnsi="Wingdings" w:hint="default"/>
      </w:rPr>
    </w:lvl>
  </w:abstractNum>
  <w:abstractNum w:abstractNumId="21" w15:restartNumberingAfterBreak="0">
    <w:nsid w:val="4E6131A0"/>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9C805CD"/>
    <w:multiLevelType w:val="hybridMultilevel"/>
    <w:tmpl w:val="6066BF00"/>
    <w:lvl w:ilvl="0" w:tplc="080A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A372C04"/>
    <w:multiLevelType w:val="hybridMultilevel"/>
    <w:tmpl w:val="BA841028"/>
    <w:lvl w:ilvl="0" w:tplc="EA648842">
      <w:start w:val="1"/>
      <w:numFmt w:val="bullet"/>
      <w:lvlText w:val="o"/>
      <w:lvlJc w:val="left"/>
      <w:pPr>
        <w:ind w:left="780" w:hanging="360"/>
      </w:pPr>
      <w:rPr>
        <w:rFonts w:ascii="Courier New" w:hAnsi="Courier New" w:cs="Courier New"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15:restartNumberingAfterBreak="0">
    <w:nsid w:val="65AE10B4"/>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67B4059"/>
    <w:multiLevelType w:val="hybridMultilevel"/>
    <w:tmpl w:val="A8FA0A16"/>
    <w:lvl w:ilvl="0" w:tplc="8B443B32">
      <w:start w:val="1"/>
      <w:numFmt w:val="lowerLetter"/>
      <w:lvlText w:val="%1)"/>
      <w:lvlJc w:val="left"/>
      <w:pPr>
        <w:tabs>
          <w:tab w:val="num" w:pos="720"/>
        </w:tabs>
        <w:ind w:left="720" w:hanging="360"/>
      </w:pPr>
      <w:rPr>
        <w:rFonts w:hint="default"/>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6" w15:restartNumberingAfterBreak="0">
    <w:nsid w:val="675D24DF"/>
    <w:multiLevelType w:val="hybridMultilevel"/>
    <w:tmpl w:val="FB988CB8"/>
    <w:lvl w:ilvl="0" w:tplc="D36C637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8B000F0"/>
    <w:multiLevelType w:val="hybridMultilevel"/>
    <w:tmpl w:val="C28AB0C4"/>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CC45BDB"/>
    <w:multiLevelType w:val="hybridMultilevel"/>
    <w:tmpl w:val="53B0D80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AE2C0F"/>
    <w:multiLevelType w:val="hybridMultilevel"/>
    <w:tmpl w:val="C816A8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31830FD"/>
    <w:multiLevelType w:val="hybridMultilevel"/>
    <w:tmpl w:val="DD742432"/>
    <w:lvl w:ilvl="0" w:tplc="806634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B63657"/>
    <w:multiLevelType w:val="hybridMultilevel"/>
    <w:tmpl w:val="C816A8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CF516C7"/>
    <w:multiLevelType w:val="hybridMultilevel"/>
    <w:tmpl w:val="221AB7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F302F5E"/>
    <w:multiLevelType w:val="hybridMultilevel"/>
    <w:tmpl w:val="D29C66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25"/>
  </w:num>
  <w:num w:numId="3">
    <w:abstractNumId w:val="1"/>
  </w:num>
  <w:num w:numId="4">
    <w:abstractNumId w:val="0"/>
  </w:num>
  <w:num w:numId="5">
    <w:abstractNumId w:val="20"/>
  </w:num>
  <w:num w:numId="6">
    <w:abstractNumId w:val="5"/>
  </w:num>
  <w:num w:numId="7">
    <w:abstractNumId w:val="28"/>
  </w:num>
  <w:num w:numId="8">
    <w:abstractNumId w:val="13"/>
  </w:num>
  <w:num w:numId="9">
    <w:abstractNumId w:val="4"/>
  </w:num>
  <w:num w:numId="10">
    <w:abstractNumId w:val="32"/>
  </w:num>
  <w:num w:numId="11">
    <w:abstractNumId w:val="2"/>
  </w:num>
  <w:num w:numId="12">
    <w:abstractNumId w:val="10"/>
  </w:num>
  <w:num w:numId="13">
    <w:abstractNumId w:val="18"/>
  </w:num>
  <w:num w:numId="14">
    <w:abstractNumId w:val="19"/>
  </w:num>
  <w:num w:numId="15">
    <w:abstractNumId w:val="15"/>
  </w:num>
  <w:num w:numId="16">
    <w:abstractNumId w:val="14"/>
  </w:num>
  <w:num w:numId="17">
    <w:abstractNumId w:val="9"/>
  </w:num>
  <w:num w:numId="18">
    <w:abstractNumId w:val="30"/>
  </w:num>
  <w:num w:numId="19">
    <w:abstractNumId w:val="21"/>
  </w:num>
  <w:num w:numId="20">
    <w:abstractNumId w:val="6"/>
  </w:num>
  <w:num w:numId="21">
    <w:abstractNumId w:val="7"/>
  </w:num>
  <w:num w:numId="22">
    <w:abstractNumId w:val="24"/>
  </w:num>
  <w:num w:numId="23">
    <w:abstractNumId w:val="31"/>
  </w:num>
  <w:num w:numId="24">
    <w:abstractNumId w:val="29"/>
  </w:num>
  <w:num w:numId="25">
    <w:abstractNumId w:val="12"/>
  </w:num>
  <w:num w:numId="26">
    <w:abstractNumId w:val="27"/>
  </w:num>
  <w:num w:numId="27">
    <w:abstractNumId w:val="33"/>
  </w:num>
  <w:num w:numId="28">
    <w:abstractNumId w:val="16"/>
  </w:num>
  <w:num w:numId="29">
    <w:abstractNumId w:val="23"/>
  </w:num>
  <w:num w:numId="30">
    <w:abstractNumId w:val="26"/>
  </w:num>
  <w:num w:numId="31">
    <w:abstractNumId w:val="22"/>
  </w:num>
  <w:num w:numId="32">
    <w:abstractNumId w:val="11"/>
  </w:num>
  <w:num w:numId="33">
    <w:abstractNumId w:val="8"/>
  </w:num>
  <w:num w:numId="34">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376"/>
    <w:rsid w:val="000020FB"/>
    <w:rsid w:val="00002A44"/>
    <w:rsid w:val="00004C10"/>
    <w:rsid w:val="00005206"/>
    <w:rsid w:val="00006754"/>
    <w:rsid w:val="0000735F"/>
    <w:rsid w:val="000079C5"/>
    <w:rsid w:val="00010109"/>
    <w:rsid w:val="00011B1A"/>
    <w:rsid w:val="00014D3D"/>
    <w:rsid w:val="00015142"/>
    <w:rsid w:val="00017882"/>
    <w:rsid w:val="000179FB"/>
    <w:rsid w:val="000200FE"/>
    <w:rsid w:val="00020233"/>
    <w:rsid w:val="000209C7"/>
    <w:rsid w:val="00020FEC"/>
    <w:rsid w:val="00021372"/>
    <w:rsid w:val="000242AF"/>
    <w:rsid w:val="00024943"/>
    <w:rsid w:val="00024E95"/>
    <w:rsid w:val="00026B0C"/>
    <w:rsid w:val="00027D8A"/>
    <w:rsid w:val="00027FAD"/>
    <w:rsid w:val="000318F8"/>
    <w:rsid w:val="00031CBD"/>
    <w:rsid w:val="00031E9F"/>
    <w:rsid w:val="000326FB"/>
    <w:rsid w:val="00037587"/>
    <w:rsid w:val="00041AA5"/>
    <w:rsid w:val="000422BE"/>
    <w:rsid w:val="0004333A"/>
    <w:rsid w:val="0004346D"/>
    <w:rsid w:val="00045133"/>
    <w:rsid w:val="00045280"/>
    <w:rsid w:val="000458CA"/>
    <w:rsid w:val="00046F1F"/>
    <w:rsid w:val="00047D3C"/>
    <w:rsid w:val="00050FFE"/>
    <w:rsid w:val="00051876"/>
    <w:rsid w:val="00053387"/>
    <w:rsid w:val="00053BAC"/>
    <w:rsid w:val="00053DA0"/>
    <w:rsid w:val="00053E21"/>
    <w:rsid w:val="000552B6"/>
    <w:rsid w:val="000562B5"/>
    <w:rsid w:val="00056C41"/>
    <w:rsid w:val="0005716D"/>
    <w:rsid w:val="000578DC"/>
    <w:rsid w:val="00062106"/>
    <w:rsid w:val="00062646"/>
    <w:rsid w:val="000631BE"/>
    <w:rsid w:val="00063FA2"/>
    <w:rsid w:val="000645BE"/>
    <w:rsid w:val="0006524B"/>
    <w:rsid w:val="00065717"/>
    <w:rsid w:val="00066889"/>
    <w:rsid w:val="00066EB0"/>
    <w:rsid w:val="00067BE2"/>
    <w:rsid w:val="0007240B"/>
    <w:rsid w:val="00072C36"/>
    <w:rsid w:val="000737A2"/>
    <w:rsid w:val="00073ACB"/>
    <w:rsid w:val="000740A6"/>
    <w:rsid w:val="00074461"/>
    <w:rsid w:val="00074A8D"/>
    <w:rsid w:val="00076096"/>
    <w:rsid w:val="0007617B"/>
    <w:rsid w:val="00077744"/>
    <w:rsid w:val="00077F3A"/>
    <w:rsid w:val="00080345"/>
    <w:rsid w:val="00080A63"/>
    <w:rsid w:val="00081339"/>
    <w:rsid w:val="00082EB0"/>
    <w:rsid w:val="00085132"/>
    <w:rsid w:val="0008601F"/>
    <w:rsid w:val="000871D0"/>
    <w:rsid w:val="00087645"/>
    <w:rsid w:val="000879D3"/>
    <w:rsid w:val="000906E5"/>
    <w:rsid w:val="00090EFC"/>
    <w:rsid w:val="0009111A"/>
    <w:rsid w:val="000919C3"/>
    <w:rsid w:val="00092431"/>
    <w:rsid w:val="00092740"/>
    <w:rsid w:val="00093D1C"/>
    <w:rsid w:val="00094B89"/>
    <w:rsid w:val="00097C01"/>
    <w:rsid w:val="00097C20"/>
    <w:rsid w:val="000A08C6"/>
    <w:rsid w:val="000A0F43"/>
    <w:rsid w:val="000A386B"/>
    <w:rsid w:val="000A4103"/>
    <w:rsid w:val="000A4C38"/>
    <w:rsid w:val="000A51CD"/>
    <w:rsid w:val="000A558B"/>
    <w:rsid w:val="000A5C16"/>
    <w:rsid w:val="000A5CF8"/>
    <w:rsid w:val="000A6A55"/>
    <w:rsid w:val="000B3C9A"/>
    <w:rsid w:val="000B5954"/>
    <w:rsid w:val="000B5F01"/>
    <w:rsid w:val="000B6C03"/>
    <w:rsid w:val="000B6C19"/>
    <w:rsid w:val="000B730C"/>
    <w:rsid w:val="000B73FA"/>
    <w:rsid w:val="000B770E"/>
    <w:rsid w:val="000B77B0"/>
    <w:rsid w:val="000C00DF"/>
    <w:rsid w:val="000C08B9"/>
    <w:rsid w:val="000C304C"/>
    <w:rsid w:val="000C3B7C"/>
    <w:rsid w:val="000C6DC1"/>
    <w:rsid w:val="000C6DF7"/>
    <w:rsid w:val="000D0436"/>
    <w:rsid w:val="000D4A17"/>
    <w:rsid w:val="000D4FBA"/>
    <w:rsid w:val="000D5511"/>
    <w:rsid w:val="000D6DAA"/>
    <w:rsid w:val="000D6EFF"/>
    <w:rsid w:val="000D70F2"/>
    <w:rsid w:val="000D72C7"/>
    <w:rsid w:val="000D7734"/>
    <w:rsid w:val="000E0505"/>
    <w:rsid w:val="000E06DB"/>
    <w:rsid w:val="000E3A64"/>
    <w:rsid w:val="000E3E35"/>
    <w:rsid w:val="000E5629"/>
    <w:rsid w:val="000E5708"/>
    <w:rsid w:val="000E5C01"/>
    <w:rsid w:val="000E6CC3"/>
    <w:rsid w:val="000E7D5D"/>
    <w:rsid w:val="000F176E"/>
    <w:rsid w:val="000F1C60"/>
    <w:rsid w:val="000F42A1"/>
    <w:rsid w:val="000F5E19"/>
    <w:rsid w:val="000F6925"/>
    <w:rsid w:val="000F7F18"/>
    <w:rsid w:val="00100B66"/>
    <w:rsid w:val="00102D53"/>
    <w:rsid w:val="00103946"/>
    <w:rsid w:val="00103EDE"/>
    <w:rsid w:val="00106D72"/>
    <w:rsid w:val="00106EBE"/>
    <w:rsid w:val="0011083C"/>
    <w:rsid w:val="00111436"/>
    <w:rsid w:val="001119DC"/>
    <w:rsid w:val="00111C4B"/>
    <w:rsid w:val="00112117"/>
    <w:rsid w:val="00112E15"/>
    <w:rsid w:val="00113709"/>
    <w:rsid w:val="00114947"/>
    <w:rsid w:val="00116C84"/>
    <w:rsid w:val="00116CDA"/>
    <w:rsid w:val="00121967"/>
    <w:rsid w:val="00121D31"/>
    <w:rsid w:val="00123B2E"/>
    <w:rsid w:val="00123BDC"/>
    <w:rsid w:val="001240FC"/>
    <w:rsid w:val="00124859"/>
    <w:rsid w:val="00124929"/>
    <w:rsid w:val="00124B04"/>
    <w:rsid w:val="00125990"/>
    <w:rsid w:val="00125CFF"/>
    <w:rsid w:val="00126075"/>
    <w:rsid w:val="001260C5"/>
    <w:rsid w:val="00130D36"/>
    <w:rsid w:val="001312C6"/>
    <w:rsid w:val="00131DED"/>
    <w:rsid w:val="00133752"/>
    <w:rsid w:val="00133D10"/>
    <w:rsid w:val="0013589E"/>
    <w:rsid w:val="00135968"/>
    <w:rsid w:val="001360CD"/>
    <w:rsid w:val="00136890"/>
    <w:rsid w:val="001415CF"/>
    <w:rsid w:val="00141727"/>
    <w:rsid w:val="001433F1"/>
    <w:rsid w:val="0014376B"/>
    <w:rsid w:val="00145DC9"/>
    <w:rsid w:val="00150316"/>
    <w:rsid w:val="00152279"/>
    <w:rsid w:val="0015370F"/>
    <w:rsid w:val="00153B28"/>
    <w:rsid w:val="0015592C"/>
    <w:rsid w:val="00157086"/>
    <w:rsid w:val="00157465"/>
    <w:rsid w:val="0016170C"/>
    <w:rsid w:val="001622C8"/>
    <w:rsid w:val="00164F2C"/>
    <w:rsid w:val="0016505E"/>
    <w:rsid w:val="001652D6"/>
    <w:rsid w:val="00166E62"/>
    <w:rsid w:val="001679D1"/>
    <w:rsid w:val="00167C08"/>
    <w:rsid w:val="00170178"/>
    <w:rsid w:val="001712B6"/>
    <w:rsid w:val="0017263B"/>
    <w:rsid w:val="00172779"/>
    <w:rsid w:val="00173CFE"/>
    <w:rsid w:val="0017572B"/>
    <w:rsid w:val="0017701E"/>
    <w:rsid w:val="00177B04"/>
    <w:rsid w:val="0018028F"/>
    <w:rsid w:val="00180B7C"/>
    <w:rsid w:val="00181D3D"/>
    <w:rsid w:val="00182082"/>
    <w:rsid w:val="00182AD0"/>
    <w:rsid w:val="00182D5A"/>
    <w:rsid w:val="00182EBD"/>
    <w:rsid w:val="00183433"/>
    <w:rsid w:val="00183FBC"/>
    <w:rsid w:val="00184D6E"/>
    <w:rsid w:val="001860EE"/>
    <w:rsid w:val="00190888"/>
    <w:rsid w:val="00190E0B"/>
    <w:rsid w:val="00190E3D"/>
    <w:rsid w:val="0019218D"/>
    <w:rsid w:val="001924AF"/>
    <w:rsid w:val="001928C4"/>
    <w:rsid w:val="00192C12"/>
    <w:rsid w:val="00195AA8"/>
    <w:rsid w:val="00196C5B"/>
    <w:rsid w:val="001A102F"/>
    <w:rsid w:val="001A38BA"/>
    <w:rsid w:val="001A3C30"/>
    <w:rsid w:val="001A42FB"/>
    <w:rsid w:val="001A43D6"/>
    <w:rsid w:val="001A5E9B"/>
    <w:rsid w:val="001A6F16"/>
    <w:rsid w:val="001B07D6"/>
    <w:rsid w:val="001B29D5"/>
    <w:rsid w:val="001B36E7"/>
    <w:rsid w:val="001B3F21"/>
    <w:rsid w:val="001B4485"/>
    <w:rsid w:val="001B4E44"/>
    <w:rsid w:val="001B6259"/>
    <w:rsid w:val="001C0FCC"/>
    <w:rsid w:val="001C16E5"/>
    <w:rsid w:val="001C389D"/>
    <w:rsid w:val="001C44DF"/>
    <w:rsid w:val="001C5000"/>
    <w:rsid w:val="001C5C30"/>
    <w:rsid w:val="001C5F96"/>
    <w:rsid w:val="001D079C"/>
    <w:rsid w:val="001D38E7"/>
    <w:rsid w:val="001D3EBE"/>
    <w:rsid w:val="001D7410"/>
    <w:rsid w:val="001D74B7"/>
    <w:rsid w:val="001D7AC5"/>
    <w:rsid w:val="001E05C6"/>
    <w:rsid w:val="001E128D"/>
    <w:rsid w:val="001E22AF"/>
    <w:rsid w:val="001E4708"/>
    <w:rsid w:val="001E4AC8"/>
    <w:rsid w:val="001E4D1E"/>
    <w:rsid w:val="001E64CE"/>
    <w:rsid w:val="001F0065"/>
    <w:rsid w:val="001F0B45"/>
    <w:rsid w:val="001F12FB"/>
    <w:rsid w:val="001F27D7"/>
    <w:rsid w:val="001F2820"/>
    <w:rsid w:val="001F2DBE"/>
    <w:rsid w:val="001F35CD"/>
    <w:rsid w:val="001F490E"/>
    <w:rsid w:val="001F545D"/>
    <w:rsid w:val="001F5E0F"/>
    <w:rsid w:val="001F6A8B"/>
    <w:rsid w:val="001F7583"/>
    <w:rsid w:val="002002BE"/>
    <w:rsid w:val="002005D1"/>
    <w:rsid w:val="00200C5A"/>
    <w:rsid w:val="00201C9D"/>
    <w:rsid w:val="00201D02"/>
    <w:rsid w:val="002023FC"/>
    <w:rsid w:val="0020479D"/>
    <w:rsid w:val="00204806"/>
    <w:rsid w:val="00204F6E"/>
    <w:rsid w:val="002056C9"/>
    <w:rsid w:val="00205A89"/>
    <w:rsid w:val="00205E80"/>
    <w:rsid w:val="00206302"/>
    <w:rsid w:val="00206B1C"/>
    <w:rsid w:val="00206E51"/>
    <w:rsid w:val="0020741D"/>
    <w:rsid w:val="002075C4"/>
    <w:rsid w:val="00210A1D"/>
    <w:rsid w:val="00210DFD"/>
    <w:rsid w:val="0021278B"/>
    <w:rsid w:val="0021367D"/>
    <w:rsid w:val="002157FC"/>
    <w:rsid w:val="00215A70"/>
    <w:rsid w:val="00216DA1"/>
    <w:rsid w:val="002209A1"/>
    <w:rsid w:val="00221876"/>
    <w:rsid w:val="00223EE4"/>
    <w:rsid w:val="00226336"/>
    <w:rsid w:val="002329A7"/>
    <w:rsid w:val="00232DCB"/>
    <w:rsid w:val="00232FB1"/>
    <w:rsid w:val="00233262"/>
    <w:rsid w:val="00233511"/>
    <w:rsid w:val="002371E7"/>
    <w:rsid w:val="00240888"/>
    <w:rsid w:val="00240E77"/>
    <w:rsid w:val="00240EC9"/>
    <w:rsid w:val="0024237F"/>
    <w:rsid w:val="00242559"/>
    <w:rsid w:val="00243C4D"/>
    <w:rsid w:val="00243F6B"/>
    <w:rsid w:val="00245F52"/>
    <w:rsid w:val="002467EB"/>
    <w:rsid w:val="00246FB4"/>
    <w:rsid w:val="00250A61"/>
    <w:rsid w:val="00250B3C"/>
    <w:rsid w:val="00251E33"/>
    <w:rsid w:val="00253B8C"/>
    <w:rsid w:val="00255513"/>
    <w:rsid w:val="00255F65"/>
    <w:rsid w:val="00257088"/>
    <w:rsid w:val="00264325"/>
    <w:rsid w:val="0026493B"/>
    <w:rsid w:val="00267EFE"/>
    <w:rsid w:val="00270438"/>
    <w:rsid w:val="00271DE7"/>
    <w:rsid w:val="00272CEA"/>
    <w:rsid w:val="00273300"/>
    <w:rsid w:val="00274142"/>
    <w:rsid w:val="00274891"/>
    <w:rsid w:val="00277782"/>
    <w:rsid w:val="00280006"/>
    <w:rsid w:val="00280AF7"/>
    <w:rsid w:val="00280FF4"/>
    <w:rsid w:val="00283AA9"/>
    <w:rsid w:val="00284EE8"/>
    <w:rsid w:val="0028792F"/>
    <w:rsid w:val="002907F7"/>
    <w:rsid w:val="00290BCC"/>
    <w:rsid w:val="00290FCF"/>
    <w:rsid w:val="00291B68"/>
    <w:rsid w:val="00291DDA"/>
    <w:rsid w:val="00293AAF"/>
    <w:rsid w:val="00297729"/>
    <w:rsid w:val="00297BD4"/>
    <w:rsid w:val="00297DD2"/>
    <w:rsid w:val="00297E36"/>
    <w:rsid w:val="00297EAC"/>
    <w:rsid w:val="002A0C05"/>
    <w:rsid w:val="002A1C67"/>
    <w:rsid w:val="002A3333"/>
    <w:rsid w:val="002A3608"/>
    <w:rsid w:val="002A3D86"/>
    <w:rsid w:val="002A5832"/>
    <w:rsid w:val="002A6A3A"/>
    <w:rsid w:val="002B0F3E"/>
    <w:rsid w:val="002B15C0"/>
    <w:rsid w:val="002B1840"/>
    <w:rsid w:val="002B2980"/>
    <w:rsid w:val="002B5142"/>
    <w:rsid w:val="002B5437"/>
    <w:rsid w:val="002B70E9"/>
    <w:rsid w:val="002C1482"/>
    <w:rsid w:val="002C1C7F"/>
    <w:rsid w:val="002C1E49"/>
    <w:rsid w:val="002C329B"/>
    <w:rsid w:val="002C3EF9"/>
    <w:rsid w:val="002C4679"/>
    <w:rsid w:val="002C5854"/>
    <w:rsid w:val="002C6517"/>
    <w:rsid w:val="002C7035"/>
    <w:rsid w:val="002C72A5"/>
    <w:rsid w:val="002D01BA"/>
    <w:rsid w:val="002D17AB"/>
    <w:rsid w:val="002D2877"/>
    <w:rsid w:val="002D4D4F"/>
    <w:rsid w:val="002D5007"/>
    <w:rsid w:val="002D503A"/>
    <w:rsid w:val="002D552B"/>
    <w:rsid w:val="002D5BB6"/>
    <w:rsid w:val="002E024F"/>
    <w:rsid w:val="002E03E3"/>
    <w:rsid w:val="002E05A5"/>
    <w:rsid w:val="002E29E2"/>
    <w:rsid w:val="002E2A2C"/>
    <w:rsid w:val="002E3D80"/>
    <w:rsid w:val="002E5708"/>
    <w:rsid w:val="002E5DC0"/>
    <w:rsid w:val="002E62C5"/>
    <w:rsid w:val="002E649A"/>
    <w:rsid w:val="002F0ADF"/>
    <w:rsid w:val="002F15BE"/>
    <w:rsid w:val="002F17E9"/>
    <w:rsid w:val="002F1C2E"/>
    <w:rsid w:val="002F3565"/>
    <w:rsid w:val="002F4344"/>
    <w:rsid w:val="002F4548"/>
    <w:rsid w:val="002F5EF7"/>
    <w:rsid w:val="002F6126"/>
    <w:rsid w:val="002F66AD"/>
    <w:rsid w:val="002F75B4"/>
    <w:rsid w:val="00300C07"/>
    <w:rsid w:val="00301BEF"/>
    <w:rsid w:val="0030499D"/>
    <w:rsid w:val="00305335"/>
    <w:rsid w:val="003056CC"/>
    <w:rsid w:val="00305C96"/>
    <w:rsid w:val="003071AB"/>
    <w:rsid w:val="00307D7B"/>
    <w:rsid w:val="003105ED"/>
    <w:rsid w:val="00310F07"/>
    <w:rsid w:val="00310F83"/>
    <w:rsid w:val="00311238"/>
    <w:rsid w:val="00311E10"/>
    <w:rsid w:val="00313531"/>
    <w:rsid w:val="00313C27"/>
    <w:rsid w:val="003140C2"/>
    <w:rsid w:val="00314CE1"/>
    <w:rsid w:val="0031691B"/>
    <w:rsid w:val="00317131"/>
    <w:rsid w:val="003173C7"/>
    <w:rsid w:val="00317677"/>
    <w:rsid w:val="0031780A"/>
    <w:rsid w:val="00320094"/>
    <w:rsid w:val="003211E0"/>
    <w:rsid w:val="00322810"/>
    <w:rsid w:val="00322A50"/>
    <w:rsid w:val="00322CFA"/>
    <w:rsid w:val="00323921"/>
    <w:rsid w:val="00323A71"/>
    <w:rsid w:val="0032464F"/>
    <w:rsid w:val="003246E4"/>
    <w:rsid w:val="00325616"/>
    <w:rsid w:val="003268DE"/>
    <w:rsid w:val="003269B9"/>
    <w:rsid w:val="00327000"/>
    <w:rsid w:val="003306E4"/>
    <w:rsid w:val="003328AA"/>
    <w:rsid w:val="00332ABD"/>
    <w:rsid w:val="00334A8F"/>
    <w:rsid w:val="00334FC1"/>
    <w:rsid w:val="00335D86"/>
    <w:rsid w:val="00337E5C"/>
    <w:rsid w:val="003402FF"/>
    <w:rsid w:val="00340600"/>
    <w:rsid w:val="00342A70"/>
    <w:rsid w:val="00342FA7"/>
    <w:rsid w:val="0034314A"/>
    <w:rsid w:val="00343865"/>
    <w:rsid w:val="00344519"/>
    <w:rsid w:val="003463A5"/>
    <w:rsid w:val="00346556"/>
    <w:rsid w:val="003471E8"/>
    <w:rsid w:val="00351CB3"/>
    <w:rsid w:val="00352D2B"/>
    <w:rsid w:val="00354C61"/>
    <w:rsid w:val="00355E70"/>
    <w:rsid w:val="0035719A"/>
    <w:rsid w:val="00357788"/>
    <w:rsid w:val="003600C3"/>
    <w:rsid w:val="0036497C"/>
    <w:rsid w:val="00365791"/>
    <w:rsid w:val="0036627E"/>
    <w:rsid w:val="0037102C"/>
    <w:rsid w:val="003712F7"/>
    <w:rsid w:val="00372162"/>
    <w:rsid w:val="00372BAD"/>
    <w:rsid w:val="00375713"/>
    <w:rsid w:val="003774A9"/>
    <w:rsid w:val="00380E3B"/>
    <w:rsid w:val="00381DD5"/>
    <w:rsid w:val="00384302"/>
    <w:rsid w:val="00384536"/>
    <w:rsid w:val="00386197"/>
    <w:rsid w:val="00387029"/>
    <w:rsid w:val="00387227"/>
    <w:rsid w:val="003901D9"/>
    <w:rsid w:val="00390887"/>
    <w:rsid w:val="00391249"/>
    <w:rsid w:val="00391373"/>
    <w:rsid w:val="00391C0E"/>
    <w:rsid w:val="003950EB"/>
    <w:rsid w:val="00395FDB"/>
    <w:rsid w:val="00396043"/>
    <w:rsid w:val="00396C04"/>
    <w:rsid w:val="00396FA3"/>
    <w:rsid w:val="0039703C"/>
    <w:rsid w:val="003A08C4"/>
    <w:rsid w:val="003A0FCB"/>
    <w:rsid w:val="003A1BBA"/>
    <w:rsid w:val="003A31C5"/>
    <w:rsid w:val="003A3859"/>
    <w:rsid w:val="003A47DB"/>
    <w:rsid w:val="003A4D5C"/>
    <w:rsid w:val="003A5522"/>
    <w:rsid w:val="003A683D"/>
    <w:rsid w:val="003A7A60"/>
    <w:rsid w:val="003B0F55"/>
    <w:rsid w:val="003B1930"/>
    <w:rsid w:val="003B238B"/>
    <w:rsid w:val="003B26C6"/>
    <w:rsid w:val="003B3F79"/>
    <w:rsid w:val="003B4568"/>
    <w:rsid w:val="003B4857"/>
    <w:rsid w:val="003B54F5"/>
    <w:rsid w:val="003B5D87"/>
    <w:rsid w:val="003B6D7E"/>
    <w:rsid w:val="003B71B7"/>
    <w:rsid w:val="003B74FC"/>
    <w:rsid w:val="003C02CA"/>
    <w:rsid w:val="003C0E90"/>
    <w:rsid w:val="003C1A58"/>
    <w:rsid w:val="003C30BE"/>
    <w:rsid w:val="003C3DF4"/>
    <w:rsid w:val="003C402C"/>
    <w:rsid w:val="003C7162"/>
    <w:rsid w:val="003C75BE"/>
    <w:rsid w:val="003D1700"/>
    <w:rsid w:val="003D19BF"/>
    <w:rsid w:val="003D26D9"/>
    <w:rsid w:val="003D292D"/>
    <w:rsid w:val="003D3E91"/>
    <w:rsid w:val="003D4B4E"/>
    <w:rsid w:val="003D581F"/>
    <w:rsid w:val="003D5AEA"/>
    <w:rsid w:val="003D6F50"/>
    <w:rsid w:val="003D7142"/>
    <w:rsid w:val="003E0F28"/>
    <w:rsid w:val="003E3816"/>
    <w:rsid w:val="003E44F7"/>
    <w:rsid w:val="003E5247"/>
    <w:rsid w:val="003E6A54"/>
    <w:rsid w:val="003E6C60"/>
    <w:rsid w:val="003E7873"/>
    <w:rsid w:val="003F0690"/>
    <w:rsid w:val="003F18BB"/>
    <w:rsid w:val="003F1A85"/>
    <w:rsid w:val="003F4686"/>
    <w:rsid w:val="003F5E7A"/>
    <w:rsid w:val="003F6007"/>
    <w:rsid w:val="003F6153"/>
    <w:rsid w:val="003F7021"/>
    <w:rsid w:val="00401884"/>
    <w:rsid w:val="0040192C"/>
    <w:rsid w:val="00403ABE"/>
    <w:rsid w:val="00405128"/>
    <w:rsid w:val="004069CF"/>
    <w:rsid w:val="0041051D"/>
    <w:rsid w:val="00410697"/>
    <w:rsid w:val="00410907"/>
    <w:rsid w:val="004141DD"/>
    <w:rsid w:val="00414B48"/>
    <w:rsid w:val="00414C04"/>
    <w:rsid w:val="004153F0"/>
    <w:rsid w:val="004156F0"/>
    <w:rsid w:val="00417006"/>
    <w:rsid w:val="00420B66"/>
    <w:rsid w:val="00427610"/>
    <w:rsid w:val="00430C74"/>
    <w:rsid w:val="0043123B"/>
    <w:rsid w:val="00431592"/>
    <w:rsid w:val="00431AB9"/>
    <w:rsid w:val="004362A6"/>
    <w:rsid w:val="00437376"/>
    <w:rsid w:val="004427D2"/>
    <w:rsid w:val="00442F3A"/>
    <w:rsid w:val="004435D6"/>
    <w:rsid w:val="004451B2"/>
    <w:rsid w:val="004452AF"/>
    <w:rsid w:val="00451122"/>
    <w:rsid w:val="00452595"/>
    <w:rsid w:val="00454905"/>
    <w:rsid w:val="00455221"/>
    <w:rsid w:val="004556EE"/>
    <w:rsid w:val="00455CF1"/>
    <w:rsid w:val="00455F6D"/>
    <w:rsid w:val="004624CF"/>
    <w:rsid w:val="00463889"/>
    <w:rsid w:val="0046463B"/>
    <w:rsid w:val="004652A0"/>
    <w:rsid w:val="00465595"/>
    <w:rsid w:val="00465E09"/>
    <w:rsid w:val="00466EC1"/>
    <w:rsid w:val="0047408D"/>
    <w:rsid w:val="004741F2"/>
    <w:rsid w:val="00474263"/>
    <w:rsid w:val="0048017D"/>
    <w:rsid w:val="0048033B"/>
    <w:rsid w:val="00481815"/>
    <w:rsid w:val="004821A6"/>
    <w:rsid w:val="00482882"/>
    <w:rsid w:val="00482B17"/>
    <w:rsid w:val="0048473B"/>
    <w:rsid w:val="00485C26"/>
    <w:rsid w:val="004871D2"/>
    <w:rsid w:val="0048780A"/>
    <w:rsid w:val="0048790E"/>
    <w:rsid w:val="00491AC1"/>
    <w:rsid w:val="00492070"/>
    <w:rsid w:val="00492621"/>
    <w:rsid w:val="0049264E"/>
    <w:rsid w:val="00492B07"/>
    <w:rsid w:val="0049373D"/>
    <w:rsid w:val="00493A53"/>
    <w:rsid w:val="004952B2"/>
    <w:rsid w:val="004954D3"/>
    <w:rsid w:val="004A00AE"/>
    <w:rsid w:val="004A04CE"/>
    <w:rsid w:val="004A59AD"/>
    <w:rsid w:val="004A5C1B"/>
    <w:rsid w:val="004A661D"/>
    <w:rsid w:val="004A6BF5"/>
    <w:rsid w:val="004A73D8"/>
    <w:rsid w:val="004A7CA4"/>
    <w:rsid w:val="004A7DE2"/>
    <w:rsid w:val="004B0756"/>
    <w:rsid w:val="004B18DF"/>
    <w:rsid w:val="004B20C1"/>
    <w:rsid w:val="004B409C"/>
    <w:rsid w:val="004B6629"/>
    <w:rsid w:val="004B6C34"/>
    <w:rsid w:val="004C02E3"/>
    <w:rsid w:val="004C0ACD"/>
    <w:rsid w:val="004C15BF"/>
    <w:rsid w:val="004C2EBE"/>
    <w:rsid w:val="004C30D8"/>
    <w:rsid w:val="004C43A4"/>
    <w:rsid w:val="004C4618"/>
    <w:rsid w:val="004C49AE"/>
    <w:rsid w:val="004C78F6"/>
    <w:rsid w:val="004C7BBB"/>
    <w:rsid w:val="004D20C4"/>
    <w:rsid w:val="004D20CB"/>
    <w:rsid w:val="004D3969"/>
    <w:rsid w:val="004D4CED"/>
    <w:rsid w:val="004D5BA8"/>
    <w:rsid w:val="004D692F"/>
    <w:rsid w:val="004D6DFA"/>
    <w:rsid w:val="004E071B"/>
    <w:rsid w:val="004E1406"/>
    <w:rsid w:val="004E1C94"/>
    <w:rsid w:val="004E1FC2"/>
    <w:rsid w:val="004E2349"/>
    <w:rsid w:val="004E471D"/>
    <w:rsid w:val="004E738A"/>
    <w:rsid w:val="004F0C49"/>
    <w:rsid w:val="004F1920"/>
    <w:rsid w:val="004F267B"/>
    <w:rsid w:val="004F5DA4"/>
    <w:rsid w:val="004F6235"/>
    <w:rsid w:val="004F6473"/>
    <w:rsid w:val="004F65DE"/>
    <w:rsid w:val="005002DD"/>
    <w:rsid w:val="005003F3"/>
    <w:rsid w:val="00500DEA"/>
    <w:rsid w:val="00501C60"/>
    <w:rsid w:val="00501D14"/>
    <w:rsid w:val="00502D56"/>
    <w:rsid w:val="00503164"/>
    <w:rsid w:val="00503EEF"/>
    <w:rsid w:val="00507A7C"/>
    <w:rsid w:val="00507D3D"/>
    <w:rsid w:val="00510670"/>
    <w:rsid w:val="00512F93"/>
    <w:rsid w:val="00512FF3"/>
    <w:rsid w:val="00513A11"/>
    <w:rsid w:val="00514346"/>
    <w:rsid w:val="005145D5"/>
    <w:rsid w:val="005145FB"/>
    <w:rsid w:val="00514995"/>
    <w:rsid w:val="00514FFB"/>
    <w:rsid w:val="00515EF3"/>
    <w:rsid w:val="00516271"/>
    <w:rsid w:val="0051763B"/>
    <w:rsid w:val="00517C1C"/>
    <w:rsid w:val="0052135A"/>
    <w:rsid w:val="00521B3C"/>
    <w:rsid w:val="0052470D"/>
    <w:rsid w:val="00527CD3"/>
    <w:rsid w:val="005323F7"/>
    <w:rsid w:val="00532544"/>
    <w:rsid w:val="00536C9C"/>
    <w:rsid w:val="00536FCE"/>
    <w:rsid w:val="00537A56"/>
    <w:rsid w:val="0054103E"/>
    <w:rsid w:val="0054195F"/>
    <w:rsid w:val="00541CC1"/>
    <w:rsid w:val="00542373"/>
    <w:rsid w:val="005434CD"/>
    <w:rsid w:val="005439DF"/>
    <w:rsid w:val="00544248"/>
    <w:rsid w:val="00544976"/>
    <w:rsid w:val="005464B4"/>
    <w:rsid w:val="00547836"/>
    <w:rsid w:val="00550578"/>
    <w:rsid w:val="00550B4A"/>
    <w:rsid w:val="00550EC8"/>
    <w:rsid w:val="00555103"/>
    <w:rsid w:val="0055539A"/>
    <w:rsid w:val="00555884"/>
    <w:rsid w:val="00555E73"/>
    <w:rsid w:val="00556062"/>
    <w:rsid w:val="0055664E"/>
    <w:rsid w:val="0055668A"/>
    <w:rsid w:val="005568DA"/>
    <w:rsid w:val="0055753B"/>
    <w:rsid w:val="00557FBB"/>
    <w:rsid w:val="00561188"/>
    <w:rsid w:val="00562913"/>
    <w:rsid w:val="00562DF1"/>
    <w:rsid w:val="0056746F"/>
    <w:rsid w:val="005716B1"/>
    <w:rsid w:val="005718BD"/>
    <w:rsid w:val="005760E2"/>
    <w:rsid w:val="00577566"/>
    <w:rsid w:val="00577614"/>
    <w:rsid w:val="00577881"/>
    <w:rsid w:val="00577A1D"/>
    <w:rsid w:val="00581977"/>
    <w:rsid w:val="00583C98"/>
    <w:rsid w:val="00584CB1"/>
    <w:rsid w:val="00584F51"/>
    <w:rsid w:val="00585656"/>
    <w:rsid w:val="00587D8B"/>
    <w:rsid w:val="00596FAD"/>
    <w:rsid w:val="00597AAF"/>
    <w:rsid w:val="005A08F6"/>
    <w:rsid w:val="005A117B"/>
    <w:rsid w:val="005A1855"/>
    <w:rsid w:val="005A18FD"/>
    <w:rsid w:val="005A242D"/>
    <w:rsid w:val="005A4039"/>
    <w:rsid w:val="005A5DC3"/>
    <w:rsid w:val="005A6451"/>
    <w:rsid w:val="005A6BD3"/>
    <w:rsid w:val="005B1B51"/>
    <w:rsid w:val="005B25A9"/>
    <w:rsid w:val="005B2DCA"/>
    <w:rsid w:val="005B2FAD"/>
    <w:rsid w:val="005B3E78"/>
    <w:rsid w:val="005B407C"/>
    <w:rsid w:val="005B42C3"/>
    <w:rsid w:val="005B68D3"/>
    <w:rsid w:val="005B69A5"/>
    <w:rsid w:val="005B6FF7"/>
    <w:rsid w:val="005C01A2"/>
    <w:rsid w:val="005C0E5B"/>
    <w:rsid w:val="005C117C"/>
    <w:rsid w:val="005C13A8"/>
    <w:rsid w:val="005C15EF"/>
    <w:rsid w:val="005C24CF"/>
    <w:rsid w:val="005C3B56"/>
    <w:rsid w:val="005C3F18"/>
    <w:rsid w:val="005C50FD"/>
    <w:rsid w:val="005C65D0"/>
    <w:rsid w:val="005C6BFF"/>
    <w:rsid w:val="005C708F"/>
    <w:rsid w:val="005D263F"/>
    <w:rsid w:val="005D3009"/>
    <w:rsid w:val="005D3374"/>
    <w:rsid w:val="005D377E"/>
    <w:rsid w:val="005D3F42"/>
    <w:rsid w:val="005D486D"/>
    <w:rsid w:val="005D547D"/>
    <w:rsid w:val="005D59EA"/>
    <w:rsid w:val="005D5A27"/>
    <w:rsid w:val="005D5D49"/>
    <w:rsid w:val="005D6CA5"/>
    <w:rsid w:val="005D709E"/>
    <w:rsid w:val="005D73B1"/>
    <w:rsid w:val="005D78E0"/>
    <w:rsid w:val="005D7E39"/>
    <w:rsid w:val="005E0368"/>
    <w:rsid w:val="005E0557"/>
    <w:rsid w:val="005E1712"/>
    <w:rsid w:val="005E1A72"/>
    <w:rsid w:val="005E40CD"/>
    <w:rsid w:val="005E5F06"/>
    <w:rsid w:val="005E603E"/>
    <w:rsid w:val="005E664C"/>
    <w:rsid w:val="005E6742"/>
    <w:rsid w:val="005E7153"/>
    <w:rsid w:val="005E7C4C"/>
    <w:rsid w:val="005F0308"/>
    <w:rsid w:val="005F0646"/>
    <w:rsid w:val="005F1E0B"/>
    <w:rsid w:val="005F22B5"/>
    <w:rsid w:val="005F2AD1"/>
    <w:rsid w:val="005F2C11"/>
    <w:rsid w:val="005F4C14"/>
    <w:rsid w:val="005F4DC8"/>
    <w:rsid w:val="005F593E"/>
    <w:rsid w:val="005F59AC"/>
    <w:rsid w:val="005F5AA7"/>
    <w:rsid w:val="005F63E5"/>
    <w:rsid w:val="005F7142"/>
    <w:rsid w:val="005F7621"/>
    <w:rsid w:val="005F7827"/>
    <w:rsid w:val="00600228"/>
    <w:rsid w:val="00601EC7"/>
    <w:rsid w:val="00602C8A"/>
    <w:rsid w:val="00602FA1"/>
    <w:rsid w:val="00604250"/>
    <w:rsid w:val="00605172"/>
    <w:rsid w:val="00605FB5"/>
    <w:rsid w:val="00606974"/>
    <w:rsid w:val="00606CED"/>
    <w:rsid w:val="006070F1"/>
    <w:rsid w:val="00611298"/>
    <w:rsid w:val="006117F7"/>
    <w:rsid w:val="006123E7"/>
    <w:rsid w:val="00612AA8"/>
    <w:rsid w:val="00615F3B"/>
    <w:rsid w:val="00616E0B"/>
    <w:rsid w:val="00616F9D"/>
    <w:rsid w:val="00617042"/>
    <w:rsid w:val="00622636"/>
    <w:rsid w:val="00622873"/>
    <w:rsid w:val="00625E42"/>
    <w:rsid w:val="006263AD"/>
    <w:rsid w:val="00627624"/>
    <w:rsid w:val="0063083A"/>
    <w:rsid w:val="006329D4"/>
    <w:rsid w:val="00633138"/>
    <w:rsid w:val="00634009"/>
    <w:rsid w:val="00634562"/>
    <w:rsid w:val="00636E9A"/>
    <w:rsid w:val="00637D55"/>
    <w:rsid w:val="00641E48"/>
    <w:rsid w:val="00642480"/>
    <w:rsid w:val="0064500D"/>
    <w:rsid w:val="00646BEE"/>
    <w:rsid w:val="00647430"/>
    <w:rsid w:val="00647446"/>
    <w:rsid w:val="00650735"/>
    <w:rsid w:val="006509B2"/>
    <w:rsid w:val="00651298"/>
    <w:rsid w:val="00651AA8"/>
    <w:rsid w:val="00651F37"/>
    <w:rsid w:val="00654F28"/>
    <w:rsid w:val="006554AC"/>
    <w:rsid w:val="006555A9"/>
    <w:rsid w:val="00656AF9"/>
    <w:rsid w:val="006570EF"/>
    <w:rsid w:val="00657C55"/>
    <w:rsid w:val="006644A9"/>
    <w:rsid w:val="00664911"/>
    <w:rsid w:val="006660D0"/>
    <w:rsid w:val="00670087"/>
    <w:rsid w:val="00670C20"/>
    <w:rsid w:val="00672488"/>
    <w:rsid w:val="0067274E"/>
    <w:rsid w:val="006749DE"/>
    <w:rsid w:val="00680A07"/>
    <w:rsid w:val="006812B7"/>
    <w:rsid w:val="006815D9"/>
    <w:rsid w:val="006825C2"/>
    <w:rsid w:val="0068281D"/>
    <w:rsid w:val="00684039"/>
    <w:rsid w:val="00684548"/>
    <w:rsid w:val="00684E26"/>
    <w:rsid w:val="006876B3"/>
    <w:rsid w:val="0068780D"/>
    <w:rsid w:val="006878E6"/>
    <w:rsid w:val="00690225"/>
    <w:rsid w:val="00690329"/>
    <w:rsid w:val="00691F43"/>
    <w:rsid w:val="00695EB5"/>
    <w:rsid w:val="00695F3A"/>
    <w:rsid w:val="00696344"/>
    <w:rsid w:val="006975D5"/>
    <w:rsid w:val="006A0287"/>
    <w:rsid w:val="006A2845"/>
    <w:rsid w:val="006A2966"/>
    <w:rsid w:val="006A5B69"/>
    <w:rsid w:val="006B02C6"/>
    <w:rsid w:val="006B1487"/>
    <w:rsid w:val="006B1F7D"/>
    <w:rsid w:val="006B2493"/>
    <w:rsid w:val="006B3068"/>
    <w:rsid w:val="006B44C9"/>
    <w:rsid w:val="006B4F23"/>
    <w:rsid w:val="006B537F"/>
    <w:rsid w:val="006B56F1"/>
    <w:rsid w:val="006B5D7B"/>
    <w:rsid w:val="006B7521"/>
    <w:rsid w:val="006B7B77"/>
    <w:rsid w:val="006C1BAE"/>
    <w:rsid w:val="006C26AB"/>
    <w:rsid w:val="006C4448"/>
    <w:rsid w:val="006C5791"/>
    <w:rsid w:val="006D0425"/>
    <w:rsid w:val="006D4C3B"/>
    <w:rsid w:val="006D7A3C"/>
    <w:rsid w:val="006D7CDF"/>
    <w:rsid w:val="006D7DB8"/>
    <w:rsid w:val="006E0323"/>
    <w:rsid w:val="006E06B4"/>
    <w:rsid w:val="006E139B"/>
    <w:rsid w:val="006E2982"/>
    <w:rsid w:val="006E29A5"/>
    <w:rsid w:val="006E61A4"/>
    <w:rsid w:val="006E682F"/>
    <w:rsid w:val="006E6FDF"/>
    <w:rsid w:val="006E71A8"/>
    <w:rsid w:val="006F077D"/>
    <w:rsid w:val="006F0CF8"/>
    <w:rsid w:val="006F13C7"/>
    <w:rsid w:val="006F1A5B"/>
    <w:rsid w:val="006F20E6"/>
    <w:rsid w:val="006F2E7E"/>
    <w:rsid w:val="006F4A2E"/>
    <w:rsid w:val="006F5DBC"/>
    <w:rsid w:val="006F5F68"/>
    <w:rsid w:val="006F6CB4"/>
    <w:rsid w:val="006F756A"/>
    <w:rsid w:val="006F7F69"/>
    <w:rsid w:val="006F7FF4"/>
    <w:rsid w:val="0070003E"/>
    <w:rsid w:val="00704DFC"/>
    <w:rsid w:val="00705853"/>
    <w:rsid w:val="0070649E"/>
    <w:rsid w:val="00706820"/>
    <w:rsid w:val="007069B5"/>
    <w:rsid w:val="007108B7"/>
    <w:rsid w:val="0071299D"/>
    <w:rsid w:val="0071479C"/>
    <w:rsid w:val="00714E75"/>
    <w:rsid w:val="00717D43"/>
    <w:rsid w:val="00717D6B"/>
    <w:rsid w:val="00720317"/>
    <w:rsid w:val="0072379F"/>
    <w:rsid w:val="007256A2"/>
    <w:rsid w:val="00726287"/>
    <w:rsid w:val="00726E6A"/>
    <w:rsid w:val="0073350D"/>
    <w:rsid w:val="00733A93"/>
    <w:rsid w:val="00734030"/>
    <w:rsid w:val="00737D74"/>
    <w:rsid w:val="00740289"/>
    <w:rsid w:val="00740ADF"/>
    <w:rsid w:val="00741C7A"/>
    <w:rsid w:val="00744779"/>
    <w:rsid w:val="00745E13"/>
    <w:rsid w:val="00747DBE"/>
    <w:rsid w:val="007506AE"/>
    <w:rsid w:val="00752039"/>
    <w:rsid w:val="00757376"/>
    <w:rsid w:val="00757BBA"/>
    <w:rsid w:val="00761411"/>
    <w:rsid w:val="00761BCC"/>
    <w:rsid w:val="00766312"/>
    <w:rsid w:val="00767127"/>
    <w:rsid w:val="007671CA"/>
    <w:rsid w:val="007671D3"/>
    <w:rsid w:val="00767567"/>
    <w:rsid w:val="007700EF"/>
    <w:rsid w:val="00770523"/>
    <w:rsid w:val="00770D81"/>
    <w:rsid w:val="00771164"/>
    <w:rsid w:val="0077116E"/>
    <w:rsid w:val="00771C5B"/>
    <w:rsid w:val="00771D31"/>
    <w:rsid w:val="0077218B"/>
    <w:rsid w:val="007735BC"/>
    <w:rsid w:val="00774AF0"/>
    <w:rsid w:val="0077700B"/>
    <w:rsid w:val="00777D44"/>
    <w:rsid w:val="00781E88"/>
    <w:rsid w:val="00784B8B"/>
    <w:rsid w:val="0078598D"/>
    <w:rsid w:val="00786B6A"/>
    <w:rsid w:val="007911DD"/>
    <w:rsid w:val="007913DD"/>
    <w:rsid w:val="0079184A"/>
    <w:rsid w:val="00792260"/>
    <w:rsid w:val="00792B2F"/>
    <w:rsid w:val="00792F10"/>
    <w:rsid w:val="00794AB5"/>
    <w:rsid w:val="0079553D"/>
    <w:rsid w:val="0079619E"/>
    <w:rsid w:val="00796B90"/>
    <w:rsid w:val="007A0E4D"/>
    <w:rsid w:val="007A11B4"/>
    <w:rsid w:val="007A1A0C"/>
    <w:rsid w:val="007A4332"/>
    <w:rsid w:val="007A7C69"/>
    <w:rsid w:val="007B09F1"/>
    <w:rsid w:val="007B0DC7"/>
    <w:rsid w:val="007B1FAA"/>
    <w:rsid w:val="007B7C16"/>
    <w:rsid w:val="007C34B1"/>
    <w:rsid w:val="007D0072"/>
    <w:rsid w:val="007D048C"/>
    <w:rsid w:val="007D12F9"/>
    <w:rsid w:val="007D1610"/>
    <w:rsid w:val="007D1B0C"/>
    <w:rsid w:val="007D32DE"/>
    <w:rsid w:val="007D6C99"/>
    <w:rsid w:val="007D759F"/>
    <w:rsid w:val="007E03C3"/>
    <w:rsid w:val="007E05D7"/>
    <w:rsid w:val="007E1CAC"/>
    <w:rsid w:val="007E36A2"/>
    <w:rsid w:val="007E4143"/>
    <w:rsid w:val="007E459E"/>
    <w:rsid w:val="007E61EA"/>
    <w:rsid w:val="007E6791"/>
    <w:rsid w:val="007E76DF"/>
    <w:rsid w:val="007F0BD3"/>
    <w:rsid w:val="007F1AAF"/>
    <w:rsid w:val="007F1BDA"/>
    <w:rsid w:val="007F20DE"/>
    <w:rsid w:val="007F2272"/>
    <w:rsid w:val="007F3AE1"/>
    <w:rsid w:val="007F6177"/>
    <w:rsid w:val="007F6B78"/>
    <w:rsid w:val="007F6DC6"/>
    <w:rsid w:val="0080056F"/>
    <w:rsid w:val="008015D2"/>
    <w:rsid w:val="0080367A"/>
    <w:rsid w:val="008049C1"/>
    <w:rsid w:val="00804F62"/>
    <w:rsid w:val="0080555F"/>
    <w:rsid w:val="0080635A"/>
    <w:rsid w:val="00806F10"/>
    <w:rsid w:val="00806FEC"/>
    <w:rsid w:val="00807254"/>
    <w:rsid w:val="008075B9"/>
    <w:rsid w:val="0081075B"/>
    <w:rsid w:val="00812212"/>
    <w:rsid w:val="00813D97"/>
    <w:rsid w:val="008146D1"/>
    <w:rsid w:val="0081478D"/>
    <w:rsid w:val="00814841"/>
    <w:rsid w:val="00815C18"/>
    <w:rsid w:val="00816EC3"/>
    <w:rsid w:val="00817460"/>
    <w:rsid w:val="00817CFB"/>
    <w:rsid w:val="008207D6"/>
    <w:rsid w:val="00821184"/>
    <w:rsid w:val="008237C3"/>
    <w:rsid w:val="008247F8"/>
    <w:rsid w:val="0082534F"/>
    <w:rsid w:val="00826EC8"/>
    <w:rsid w:val="0082764C"/>
    <w:rsid w:val="00827922"/>
    <w:rsid w:val="008304C0"/>
    <w:rsid w:val="00830530"/>
    <w:rsid w:val="00830951"/>
    <w:rsid w:val="00830B51"/>
    <w:rsid w:val="008312B1"/>
    <w:rsid w:val="00832263"/>
    <w:rsid w:val="00832BF1"/>
    <w:rsid w:val="008349D9"/>
    <w:rsid w:val="00834FD4"/>
    <w:rsid w:val="00836634"/>
    <w:rsid w:val="00836E23"/>
    <w:rsid w:val="008379A5"/>
    <w:rsid w:val="008466B0"/>
    <w:rsid w:val="008471B0"/>
    <w:rsid w:val="008473BF"/>
    <w:rsid w:val="008477F9"/>
    <w:rsid w:val="008504D5"/>
    <w:rsid w:val="00850D9F"/>
    <w:rsid w:val="00853C92"/>
    <w:rsid w:val="00855137"/>
    <w:rsid w:val="008553AC"/>
    <w:rsid w:val="00856EB5"/>
    <w:rsid w:val="00857322"/>
    <w:rsid w:val="00857982"/>
    <w:rsid w:val="00861C81"/>
    <w:rsid w:val="00863002"/>
    <w:rsid w:val="0086567C"/>
    <w:rsid w:val="00865BF8"/>
    <w:rsid w:val="00866D9C"/>
    <w:rsid w:val="0087105A"/>
    <w:rsid w:val="00871B31"/>
    <w:rsid w:val="00871CB1"/>
    <w:rsid w:val="0087310F"/>
    <w:rsid w:val="008759DB"/>
    <w:rsid w:val="00876210"/>
    <w:rsid w:val="0087697A"/>
    <w:rsid w:val="00877285"/>
    <w:rsid w:val="0088026D"/>
    <w:rsid w:val="00882D58"/>
    <w:rsid w:val="008833B0"/>
    <w:rsid w:val="00883571"/>
    <w:rsid w:val="00884AAA"/>
    <w:rsid w:val="00884CD5"/>
    <w:rsid w:val="00884FDC"/>
    <w:rsid w:val="00885B25"/>
    <w:rsid w:val="0088708E"/>
    <w:rsid w:val="008871FE"/>
    <w:rsid w:val="00890EC9"/>
    <w:rsid w:val="00892D4B"/>
    <w:rsid w:val="008938B0"/>
    <w:rsid w:val="00894A19"/>
    <w:rsid w:val="00897DD4"/>
    <w:rsid w:val="008A07B4"/>
    <w:rsid w:val="008A17C0"/>
    <w:rsid w:val="008A3877"/>
    <w:rsid w:val="008A4DEB"/>
    <w:rsid w:val="008A572B"/>
    <w:rsid w:val="008A6285"/>
    <w:rsid w:val="008B0F57"/>
    <w:rsid w:val="008B271D"/>
    <w:rsid w:val="008B2BE3"/>
    <w:rsid w:val="008B32E5"/>
    <w:rsid w:val="008B3802"/>
    <w:rsid w:val="008B500A"/>
    <w:rsid w:val="008B6782"/>
    <w:rsid w:val="008C2ECE"/>
    <w:rsid w:val="008C35B5"/>
    <w:rsid w:val="008C4E7D"/>
    <w:rsid w:val="008C5B0E"/>
    <w:rsid w:val="008C657E"/>
    <w:rsid w:val="008C7C0E"/>
    <w:rsid w:val="008D085B"/>
    <w:rsid w:val="008D41D5"/>
    <w:rsid w:val="008D4340"/>
    <w:rsid w:val="008D5ED8"/>
    <w:rsid w:val="008D6938"/>
    <w:rsid w:val="008D6D6F"/>
    <w:rsid w:val="008D75EF"/>
    <w:rsid w:val="008E0519"/>
    <w:rsid w:val="008E0606"/>
    <w:rsid w:val="008E1726"/>
    <w:rsid w:val="008E199A"/>
    <w:rsid w:val="008E229E"/>
    <w:rsid w:val="008E4412"/>
    <w:rsid w:val="008E6484"/>
    <w:rsid w:val="008E67BA"/>
    <w:rsid w:val="008E794F"/>
    <w:rsid w:val="008F02E5"/>
    <w:rsid w:val="008F08BF"/>
    <w:rsid w:val="008F10CC"/>
    <w:rsid w:val="008F45AD"/>
    <w:rsid w:val="008F5352"/>
    <w:rsid w:val="008F569C"/>
    <w:rsid w:val="008F5C30"/>
    <w:rsid w:val="008F5F95"/>
    <w:rsid w:val="008F6233"/>
    <w:rsid w:val="008F6D6C"/>
    <w:rsid w:val="008F6F30"/>
    <w:rsid w:val="008F74DD"/>
    <w:rsid w:val="008F7B3F"/>
    <w:rsid w:val="008F7C02"/>
    <w:rsid w:val="009003A3"/>
    <w:rsid w:val="00900655"/>
    <w:rsid w:val="00900735"/>
    <w:rsid w:val="00900E73"/>
    <w:rsid w:val="0090114B"/>
    <w:rsid w:val="0090304D"/>
    <w:rsid w:val="0090406F"/>
    <w:rsid w:val="00905920"/>
    <w:rsid w:val="00905FA1"/>
    <w:rsid w:val="009110D0"/>
    <w:rsid w:val="009117A6"/>
    <w:rsid w:val="009121D7"/>
    <w:rsid w:val="00912B21"/>
    <w:rsid w:val="00913764"/>
    <w:rsid w:val="00913A5D"/>
    <w:rsid w:val="00915D8A"/>
    <w:rsid w:val="009163F2"/>
    <w:rsid w:val="009170BE"/>
    <w:rsid w:val="009174B4"/>
    <w:rsid w:val="00917C1A"/>
    <w:rsid w:val="009202FA"/>
    <w:rsid w:val="00921BB3"/>
    <w:rsid w:val="00921EC0"/>
    <w:rsid w:val="00923CC1"/>
    <w:rsid w:val="009249A9"/>
    <w:rsid w:val="00924CCB"/>
    <w:rsid w:val="00925035"/>
    <w:rsid w:val="00925867"/>
    <w:rsid w:val="009302C6"/>
    <w:rsid w:val="009327C6"/>
    <w:rsid w:val="009335E2"/>
    <w:rsid w:val="009354EC"/>
    <w:rsid w:val="00936E63"/>
    <w:rsid w:val="009375FA"/>
    <w:rsid w:val="00940479"/>
    <w:rsid w:val="00942D34"/>
    <w:rsid w:val="009465B3"/>
    <w:rsid w:val="009478A2"/>
    <w:rsid w:val="009513B2"/>
    <w:rsid w:val="00952833"/>
    <w:rsid w:val="00953D0A"/>
    <w:rsid w:val="009551C8"/>
    <w:rsid w:val="00956B85"/>
    <w:rsid w:val="00956E78"/>
    <w:rsid w:val="00956FD7"/>
    <w:rsid w:val="00957097"/>
    <w:rsid w:val="009637B3"/>
    <w:rsid w:val="00963C0B"/>
    <w:rsid w:val="0096419B"/>
    <w:rsid w:val="009642DF"/>
    <w:rsid w:val="009648FE"/>
    <w:rsid w:val="0096590B"/>
    <w:rsid w:val="00965941"/>
    <w:rsid w:val="009659DB"/>
    <w:rsid w:val="00965D1D"/>
    <w:rsid w:val="00966C50"/>
    <w:rsid w:val="00967850"/>
    <w:rsid w:val="00967BAD"/>
    <w:rsid w:val="009704BD"/>
    <w:rsid w:val="0097145E"/>
    <w:rsid w:val="0097175D"/>
    <w:rsid w:val="00971AF1"/>
    <w:rsid w:val="00971C97"/>
    <w:rsid w:val="0097696E"/>
    <w:rsid w:val="00980AA6"/>
    <w:rsid w:val="00980BC9"/>
    <w:rsid w:val="00981289"/>
    <w:rsid w:val="00983E06"/>
    <w:rsid w:val="0098454C"/>
    <w:rsid w:val="0098528D"/>
    <w:rsid w:val="009853EF"/>
    <w:rsid w:val="0099032D"/>
    <w:rsid w:val="00991BA3"/>
    <w:rsid w:val="00992744"/>
    <w:rsid w:val="00996298"/>
    <w:rsid w:val="009962D3"/>
    <w:rsid w:val="00997A45"/>
    <w:rsid w:val="00997E80"/>
    <w:rsid w:val="00997FC9"/>
    <w:rsid w:val="009A00C8"/>
    <w:rsid w:val="009A01C9"/>
    <w:rsid w:val="009A1883"/>
    <w:rsid w:val="009A38BF"/>
    <w:rsid w:val="009A5455"/>
    <w:rsid w:val="009A5CBC"/>
    <w:rsid w:val="009A65CC"/>
    <w:rsid w:val="009A6798"/>
    <w:rsid w:val="009A71D6"/>
    <w:rsid w:val="009A7DEF"/>
    <w:rsid w:val="009B194D"/>
    <w:rsid w:val="009B3C4D"/>
    <w:rsid w:val="009B5924"/>
    <w:rsid w:val="009B5EAC"/>
    <w:rsid w:val="009B6774"/>
    <w:rsid w:val="009B7263"/>
    <w:rsid w:val="009B766D"/>
    <w:rsid w:val="009C0B55"/>
    <w:rsid w:val="009C21DB"/>
    <w:rsid w:val="009C2FF2"/>
    <w:rsid w:val="009C5129"/>
    <w:rsid w:val="009C619C"/>
    <w:rsid w:val="009C61C3"/>
    <w:rsid w:val="009C70C3"/>
    <w:rsid w:val="009C72EF"/>
    <w:rsid w:val="009C7F1C"/>
    <w:rsid w:val="009D2BB5"/>
    <w:rsid w:val="009D3E56"/>
    <w:rsid w:val="009D3F56"/>
    <w:rsid w:val="009D4488"/>
    <w:rsid w:val="009D45F9"/>
    <w:rsid w:val="009D67D8"/>
    <w:rsid w:val="009D6B91"/>
    <w:rsid w:val="009D78E1"/>
    <w:rsid w:val="009D7D1F"/>
    <w:rsid w:val="009D7E15"/>
    <w:rsid w:val="009E060D"/>
    <w:rsid w:val="009E1C49"/>
    <w:rsid w:val="009E1F68"/>
    <w:rsid w:val="009E290A"/>
    <w:rsid w:val="009E40F2"/>
    <w:rsid w:val="009E51CE"/>
    <w:rsid w:val="009E591F"/>
    <w:rsid w:val="009E65B4"/>
    <w:rsid w:val="009E674F"/>
    <w:rsid w:val="009F01A8"/>
    <w:rsid w:val="009F0A70"/>
    <w:rsid w:val="009F212D"/>
    <w:rsid w:val="009F2E89"/>
    <w:rsid w:val="009F5BE0"/>
    <w:rsid w:val="009F76D8"/>
    <w:rsid w:val="009F78D8"/>
    <w:rsid w:val="00A0085E"/>
    <w:rsid w:val="00A01955"/>
    <w:rsid w:val="00A01E7F"/>
    <w:rsid w:val="00A03178"/>
    <w:rsid w:val="00A03AC7"/>
    <w:rsid w:val="00A03AEE"/>
    <w:rsid w:val="00A05435"/>
    <w:rsid w:val="00A07246"/>
    <w:rsid w:val="00A10E3A"/>
    <w:rsid w:val="00A11A9F"/>
    <w:rsid w:val="00A11C89"/>
    <w:rsid w:val="00A12719"/>
    <w:rsid w:val="00A135AB"/>
    <w:rsid w:val="00A13C31"/>
    <w:rsid w:val="00A14612"/>
    <w:rsid w:val="00A14906"/>
    <w:rsid w:val="00A15ABA"/>
    <w:rsid w:val="00A1622A"/>
    <w:rsid w:val="00A17403"/>
    <w:rsid w:val="00A20834"/>
    <w:rsid w:val="00A215FD"/>
    <w:rsid w:val="00A2230D"/>
    <w:rsid w:val="00A23FCE"/>
    <w:rsid w:val="00A25DEA"/>
    <w:rsid w:val="00A2637A"/>
    <w:rsid w:val="00A276E9"/>
    <w:rsid w:val="00A277A0"/>
    <w:rsid w:val="00A32FCC"/>
    <w:rsid w:val="00A33289"/>
    <w:rsid w:val="00A33D75"/>
    <w:rsid w:val="00A3479B"/>
    <w:rsid w:val="00A34D14"/>
    <w:rsid w:val="00A35F33"/>
    <w:rsid w:val="00A36583"/>
    <w:rsid w:val="00A36A94"/>
    <w:rsid w:val="00A37714"/>
    <w:rsid w:val="00A37C0D"/>
    <w:rsid w:val="00A4064D"/>
    <w:rsid w:val="00A40CF0"/>
    <w:rsid w:val="00A41076"/>
    <w:rsid w:val="00A4125F"/>
    <w:rsid w:val="00A41591"/>
    <w:rsid w:val="00A42DC0"/>
    <w:rsid w:val="00A43953"/>
    <w:rsid w:val="00A43C53"/>
    <w:rsid w:val="00A4490E"/>
    <w:rsid w:val="00A45280"/>
    <w:rsid w:val="00A45437"/>
    <w:rsid w:val="00A4545F"/>
    <w:rsid w:val="00A45718"/>
    <w:rsid w:val="00A45B42"/>
    <w:rsid w:val="00A4757A"/>
    <w:rsid w:val="00A51431"/>
    <w:rsid w:val="00A523B4"/>
    <w:rsid w:val="00A526DD"/>
    <w:rsid w:val="00A53833"/>
    <w:rsid w:val="00A5446B"/>
    <w:rsid w:val="00A55707"/>
    <w:rsid w:val="00A55CED"/>
    <w:rsid w:val="00A566AD"/>
    <w:rsid w:val="00A56988"/>
    <w:rsid w:val="00A57C09"/>
    <w:rsid w:val="00A601F6"/>
    <w:rsid w:val="00A64FCE"/>
    <w:rsid w:val="00A65CB8"/>
    <w:rsid w:val="00A6730B"/>
    <w:rsid w:val="00A67FC0"/>
    <w:rsid w:val="00A72D28"/>
    <w:rsid w:val="00A732B1"/>
    <w:rsid w:val="00A738C6"/>
    <w:rsid w:val="00A76272"/>
    <w:rsid w:val="00A77409"/>
    <w:rsid w:val="00A776E4"/>
    <w:rsid w:val="00A77CA0"/>
    <w:rsid w:val="00A81689"/>
    <w:rsid w:val="00A8173C"/>
    <w:rsid w:val="00A81DD6"/>
    <w:rsid w:val="00A8380A"/>
    <w:rsid w:val="00A83EDD"/>
    <w:rsid w:val="00A85A8B"/>
    <w:rsid w:val="00A908B9"/>
    <w:rsid w:val="00A91ED7"/>
    <w:rsid w:val="00A94567"/>
    <w:rsid w:val="00A94D26"/>
    <w:rsid w:val="00A966A7"/>
    <w:rsid w:val="00A96B36"/>
    <w:rsid w:val="00A96C0D"/>
    <w:rsid w:val="00A96D77"/>
    <w:rsid w:val="00AA000C"/>
    <w:rsid w:val="00AA00C0"/>
    <w:rsid w:val="00AA3A26"/>
    <w:rsid w:val="00AA4D9F"/>
    <w:rsid w:val="00AA5AD6"/>
    <w:rsid w:val="00AA7A72"/>
    <w:rsid w:val="00AB0037"/>
    <w:rsid w:val="00AB05FC"/>
    <w:rsid w:val="00AB1F2E"/>
    <w:rsid w:val="00AB326B"/>
    <w:rsid w:val="00AB33B0"/>
    <w:rsid w:val="00AB5C10"/>
    <w:rsid w:val="00AC3E60"/>
    <w:rsid w:val="00AC4A76"/>
    <w:rsid w:val="00AC520A"/>
    <w:rsid w:val="00AC78FD"/>
    <w:rsid w:val="00AD12A3"/>
    <w:rsid w:val="00AD1846"/>
    <w:rsid w:val="00AD18AB"/>
    <w:rsid w:val="00AD1FCF"/>
    <w:rsid w:val="00AD215C"/>
    <w:rsid w:val="00AD22E6"/>
    <w:rsid w:val="00AD3EC9"/>
    <w:rsid w:val="00AD4604"/>
    <w:rsid w:val="00AD48AD"/>
    <w:rsid w:val="00AD54E7"/>
    <w:rsid w:val="00AD6615"/>
    <w:rsid w:val="00AE04E3"/>
    <w:rsid w:val="00AE1437"/>
    <w:rsid w:val="00AE4546"/>
    <w:rsid w:val="00AE574C"/>
    <w:rsid w:val="00AE6663"/>
    <w:rsid w:val="00AE6917"/>
    <w:rsid w:val="00AE70B3"/>
    <w:rsid w:val="00AE7A5D"/>
    <w:rsid w:val="00AF3D71"/>
    <w:rsid w:val="00AF743E"/>
    <w:rsid w:val="00AF7891"/>
    <w:rsid w:val="00AF7D78"/>
    <w:rsid w:val="00B00448"/>
    <w:rsid w:val="00B00DC1"/>
    <w:rsid w:val="00B02C23"/>
    <w:rsid w:val="00B03969"/>
    <w:rsid w:val="00B05414"/>
    <w:rsid w:val="00B07141"/>
    <w:rsid w:val="00B101FC"/>
    <w:rsid w:val="00B12D09"/>
    <w:rsid w:val="00B13143"/>
    <w:rsid w:val="00B14213"/>
    <w:rsid w:val="00B15966"/>
    <w:rsid w:val="00B21246"/>
    <w:rsid w:val="00B2151A"/>
    <w:rsid w:val="00B25AA2"/>
    <w:rsid w:val="00B25FB8"/>
    <w:rsid w:val="00B263A2"/>
    <w:rsid w:val="00B26572"/>
    <w:rsid w:val="00B2702A"/>
    <w:rsid w:val="00B30E8A"/>
    <w:rsid w:val="00B330F3"/>
    <w:rsid w:val="00B34A78"/>
    <w:rsid w:val="00B361EF"/>
    <w:rsid w:val="00B375B4"/>
    <w:rsid w:val="00B402B4"/>
    <w:rsid w:val="00B40A64"/>
    <w:rsid w:val="00B4136E"/>
    <w:rsid w:val="00B432C0"/>
    <w:rsid w:val="00B44278"/>
    <w:rsid w:val="00B44482"/>
    <w:rsid w:val="00B45568"/>
    <w:rsid w:val="00B46006"/>
    <w:rsid w:val="00B46401"/>
    <w:rsid w:val="00B4676F"/>
    <w:rsid w:val="00B46C00"/>
    <w:rsid w:val="00B5007A"/>
    <w:rsid w:val="00B51920"/>
    <w:rsid w:val="00B532FB"/>
    <w:rsid w:val="00B534B7"/>
    <w:rsid w:val="00B53B70"/>
    <w:rsid w:val="00B54A6A"/>
    <w:rsid w:val="00B56383"/>
    <w:rsid w:val="00B601FE"/>
    <w:rsid w:val="00B60528"/>
    <w:rsid w:val="00B614CD"/>
    <w:rsid w:val="00B6408B"/>
    <w:rsid w:val="00B64416"/>
    <w:rsid w:val="00B6569E"/>
    <w:rsid w:val="00B67FB4"/>
    <w:rsid w:val="00B705F8"/>
    <w:rsid w:val="00B708E5"/>
    <w:rsid w:val="00B70DBD"/>
    <w:rsid w:val="00B71085"/>
    <w:rsid w:val="00B71397"/>
    <w:rsid w:val="00B72251"/>
    <w:rsid w:val="00B725A2"/>
    <w:rsid w:val="00B73B5F"/>
    <w:rsid w:val="00B73BCC"/>
    <w:rsid w:val="00B74375"/>
    <w:rsid w:val="00B751E7"/>
    <w:rsid w:val="00B76857"/>
    <w:rsid w:val="00B76AF4"/>
    <w:rsid w:val="00B76BC5"/>
    <w:rsid w:val="00B77117"/>
    <w:rsid w:val="00B7742F"/>
    <w:rsid w:val="00B806CE"/>
    <w:rsid w:val="00B82337"/>
    <w:rsid w:val="00B82FEA"/>
    <w:rsid w:val="00B8498D"/>
    <w:rsid w:val="00B86F0A"/>
    <w:rsid w:val="00B8747F"/>
    <w:rsid w:val="00B929CF"/>
    <w:rsid w:val="00B93D51"/>
    <w:rsid w:val="00B95AA2"/>
    <w:rsid w:val="00B97F75"/>
    <w:rsid w:val="00BA0252"/>
    <w:rsid w:val="00BA1689"/>
    <w:rsid w:val="00BA2D2A"/>
    <w:rsid w:val="00BA3617"/>
    <w:rsid w:val="00BA39CD"/>
    <w:rsid w:val="00BA43F4"/>
    <w:rsid w:val="00BA5B3A"/>
    <w:rsid w:val="00BB1CE2"/>
    <w:rsid w:val="00BB2BA2"/>
    <w:rsid w:val="00BB4217"/>
    <w:rsid w:val="00BB6B3F"/>
    <w:rsid w:val="00BB74C6"/>
    <w:rsid w:val="00BC051D"/>
    <w:rsid w:val="00BC0BB8"/>
    <w:rsid w:val="00BC28D0"/>
    <w:rsid w:val="00BC2C49"/>
    <w:rsid w:val="00BC37B9"/>
    <w:rsid w:val="00BC3F39"/>
    <w:rsid w:val="00BC5A3E"/>
    <w:rsid w:val="00BD1BF0"/>
    <w:rsid w:val="00BD1DA6"/>
    <w:rsid w:val="00BD34CE"/>
    <w:rsid w:val="00BD38B7"/>
    <w:rsid w:val="00BD3D61"/>
    <w:rsid w:val="00BD4212"/>
    <w:rsid w:val="00BD51AB"/>
    <w:rsid w:val="00BD5B1A"/>
    <w:rsid w:val="00BD7781"/>
    <w:rsid w:val="00BD7AE8"/>
    <w:rsid w:val="00BE2A53"/>
    <w:rsid w:val="00BE2B23"/>
    <w:rsid w:val="00BE3CE7"/>
    <w:rsid w:val="00BE4250"/>
    <w:rsid w:val="00BE6C1B"/>
    <w:rsid w:val="00BE78E8"/>
    <w:rsid w:val="00BF14EC"/>
    <w:rsid w:val="00BF1789"/>
    <w:rsid w:val="00BF1C26"/>
    <w:rsid w:val="00BF28B8"/>
    <w:rsid w:val="00BF2C52"/>
    <w:rsid w:val="00BF332A"/>
    <w:rsid w:val="00BF3E14"/>
    <w:rsid w:val="00BF4032"/>
    <w:rsid w:val="00BF4A4C"/>
    <w:rsid w:val="00BF582E"/>
    <w:rsid w:val="00BF5FA0"/>
    <w:rsid w:val="00BF68AF"/>
    <w:rsid w:val="00BF7280"/>
    <w:rsid w:val="00C01CBA"/>
    <w:rsid w:val="00C020C7"/>
    <w:rsid w:val="00C07124"/>
    <w:rsid w:val="00C0763B"/>
    <w:rsid w:val="00C104DE"/>
    <w:rsid w:val="00C108F4"/>
    <w:rsid w:val="00C11599"/>
    <w:rsid w:val="00C118D9"/>
    <w:rsid w:val="00C126C2"/>
    <w:rsid w:val="00C143C7"/>
    <w:rsid w:val="00C14EBA"/>
    <w:rsid w:val="00C15166"/>
    <w:rsid w:val="00C168C2"/>
    <w:rsid w:val="00C168FB"/>
    <w:rsid w:val="00C16988"/>
    <w:rsid w:val="00C16FCC"/>
    <w:rsid w:val="00C20FDC"/>
    <w:rsid w:val="00C22183"/>
    <w:rsid w:val="00C22710"/>
    <w:rsid w:val="00C24B63"/>
    <w:rsid w:val="00C30608"/>
    <w:rsid w:val="00C306ED"/>
    <w:rsid w:val="00C35905"/>
    <w:rsid w:val="00C360C5"/>
    <w:rsid w:val="00C3672D"/>
    <w:rsid w:val="00C406E1"/>
    <w:rsid w:val="00C40762"/>
    <w:rsid w:val="00C418E5"/>
    <w:rsid w:val="00C42264"/>
    <w:rsid w:val="00C422EA"/>
    <w:rsid w:val="00C42851"/>
    <w:rsid w:val="00C4319C"/>
    <w:rsid w:val="00C473F9"/>
    <w:rsid w:val="00C50C54"/>
    <w:rsid w:val="00C50F87"/>
    <w:rsid w:val="00C51056"/>
    <w:rsid w:val="00C524A7"/>
    <w:rsid w:val="00C5345F"/>
    <w:rsid w:val="00C540F2"/>
    <w:rsid w:val="00C54435"/>
    <w:rsid w:val="00C558A8"/>
    <w:rsid w:val="00C569CF"/>
    <w:rsid w:val="00C57572"/>
    <w:rsid w:val="00C57B97"/>
    <w:rsid w:val="00C60861"/>
    <w:rsid w:val="00C61485"/>
    <w:rsid w:val="00C61858"/>
    <w:rsid w:val="00C61CE3"/>
    <w:rsid w:val="00C62BC5"/>
    <w:rsid w:val="00C638B5"/>
    <w:rsid w:val="00C63B34"/>
    <w:rsid w:val="00C717EA"/>
    <w:rsid w:val="00C719E4"/>
    <w:rsid w:val="00C71F32"/>
    <w:rsid w:val="00C73275"/>
    <w:rsid w:val="00C73F83"/>
    <w:rsid w:val="00C747C9"/>
    <w:rsid w:val="00C75FB4"/>
    <w:rsid w:val="00C771D2"/>
    <w:rsid w:val="00C774F5"/>
    <w:rsid w:val="00C77B75"/>
    <w:rsid w:val="00C802BD"/>
    <w:rsid w:val="00C8091E"/>
    <w:rsid w:val="00C81BFD"/>
    <w:rsid w:val="00C82272"/>
    <w:rsid w:val="00C8643E"/>
    <w:rsid w:val="00C87AB7"/>
    <w:rsid w:val="00C90D7F"/>
    <w:rsid w:val="00C95123"/>
    <w:rsid w:val="00C964A2"/>
    <w:rsid w:val="00C97670"/>
    <w:rsid w:val="00CA127D"/>
    <w:rsid w:val="00CA464F"/>
    <w:rsid w:val="00CA6111"/>
    <w:rsid w:val="00CA7497"/>
    <w:rsid w:val="00CA7BCF"/>
    <w:rsid w:val="00CA7E62"/>
    <w:rsid w:val="00CB1536"/>
    <w:rsid w:val="00CB216F"/>
    <w:rsid w:val="00CB2E3D"/>
    <w:rsid w:val="00CB4449"/>
    <w:rsid w:val="00CB55E0"/>
    <w:rsid w:val="00CC0B5A"/>
    <w:rsid w:val="00CC16A5"/>
    <w:rsid w:val="00CC3A81"/>
    <w:rsid w:val="00CC46D1"/>
    <w:rsid w:val="00CC4A74"/>
    <w:rsid w:val="00CC4CB3"/>
    <w:rsid w:val="00CC596A"/>
    <w:rsid w:val="00CC61D7"/>
    <w:rsid w:val="00CC6664"/>
    <w:rsid w:val="00CC705D"/>
    <w:rsid w:val="00CC7C85"/>
    <w:rsid w:val="00CD17CF"/>
    <w:rsid w:val="00CD1A9C"/>
    <w:rsid w:val="00CD476D"/>
    <w:rsid w:val="00CD497A"/>
    <w:rsid w:val="00CD4F5D"/>
    <w:rsid w:val="00CD50E3"/>
    <w:rsid w:val="00CD64C8"/>
    <w:rsid w:val="00CD66F5"/>
    <w:rsid w:val="00CD7666"/>
    <w:rsid w:val="00CE0369"/>
    <w:rsid w:val="00CE04A4"/>
    <w:rsid w:val="00CE1036"/>
    <w:rsid w:val="00CE1061"/>
    <w:rsid w:val="00CE11C8"/>
    <w:rsid w:val="00CE13F2"/>
    <w:rsid w:val="00CE245B"/>
    <w:rsid w:val="00CE2AB7"/>
    <w:rsid w:val="00CE2FCC"/>
    <w:rsid w:val="00CE46E0"/>
    <w:rsid w:val="00CE474C"/>
    <w:rsid w:val="00CE55F7"/>
    <w:rsid w:val="00CE6AAF"/>
    <w:rsid w:val="00CE728A"/>
    <w:rsid w:val="00CE73D1"/>
    <w:rsid w:val="00CE7B6C"/>
    <w:rsid w:val="00CF0637"/>
    <w:rsid w:val="00CF078B"/>
    <w:rsid w:val="00CF1A7A"/>
    <w:rsid w:val="00CF4DBB"/>
    <w:rsid w:val="00CF6329"/>
    <w:rsid w:val="00CF663D"/>
    <w:rsid w:val="00CF6E35"/>
    <w:rsid w:val="00CF757A"/>
    <w:rsid w:val="00D036BE"/>
    <w:rsid w:val="00D03899"/>
    <w:rsid w:val="00D04CD1"/>
    <w:rsid w:val="00D05D86"/>
    <w:rsid w:val="00D10F8D"/>
    <w:rsid w:val="00D11817"/>
    <w:rsid w:val="00D12F06"/>
    <w:rsid w:val="00D138B7"/>
    <w:rsid w:val="00D13B4C"/>
    <w:rsid w:val="00D14926"/>
    <w:rsid w:val="00D14ECD"/>
    <w:rsid w:val="00D17C70"/>
    <w:rsid w:val="00D2160C"/>
    <w:rsid w:val="00D21C81"/>
    <w:rsid w:val="00D25111"/>
    <w:rsid w:val="00D25130"/>
    <w:rsid w:val="00D25359"/>
    <w:rsid w:val="00D25BEB"/>
    <w:rsid w:val="00D26529"/>
    <w:rsid w:val="00D26ADE"/>
    <w:rsid w:val="00D32137"/>
    <w:rsid w:val="00D32962"/>
    <w:rsid w:val="00D33092"/>
    <w:rsid w:val="00D33119"/>
    <w:rsid w:val="00D33EA7"/>
    <w:rsid w:val="00D341C3"/>
    <w:rsid w:val="00D342BD"/>
    <w:rsid w:val="00D369D6"/>
    <w:rsid w:val="00D36EBC"/>
    <w:rsid w:val="00D3796B"/>
    <w:rsid w:val="00D407BB"/>
    <w:rsid w:val="00D41C09"/>
    <w:rsid w:val="00D43593"/>
    <w:rsid w:val="00D435A7"/>
    <w:rsid w:val="00D451A1"/>
    <w:rsid w:val="00D4749D"/>
    <w:rsid w:val="00D47649"/>
    <w:rsid w:val="00D4780A"/>
    <w:rsid w:val="00D50343"/>
    <w:rsid w:val="00D51C82"/>
    <w:rsid w:val="00D51CD1"/>
    <w:rsid w:val="00D529DB"/>
    <w:rsid w:val="00D52A7C"/>
    <w:rsid w:val="00D5306B"/>
    <w:rsid w:val="00D535A0"/>
    <w:rsid w:val="00D540BE"/>
    <w:rsid w:val="00D541E6"/>
    <w:rsid w:val="00D54FE0"/>
    <w:rsid w:val="00D557DE"/>
    <w:rsid w:val="00D5794A"/>
    <w:rsid w:val="00D57E32"/>
    <w:rsid w:val="00D60128"/>
    <w:rsid w:val="00D6208B"/>
    <w:rsid w:val="00D626F8"/>
    <w:rsid w:val="00D636E2"/>
    <w:rsid w:val="00D64431"/>
    <w:rsid w:val="00D66FD9"/>
    <w:rsid w:val="00D67F12"/>
    <w:rsid w:val="00D70FC3"/>
    <w:rsid w:val="00D7195F"/>
    <w:rsid w:val="00D71DD7"/>
    <w:rsid w:val="00D73A21"/>
    <w:rsid w:val="00D74993"/>
    <w:rsid w:val="00D75C53"/>
    <w:rsid w:val="00D8188A"/>
    <w:rsid w:val="00D8188D"/>
    <w:rsid w:val="00D823CB"/>
    <w:rsid w:val="00D82469"/>
    <w:rsid w:val="00D852E2"/>
    <w:rsid w:val="00D8534C"/>
    <w:rsid w:val="00D8718D"/>
    <w:rsid w:val="00D87C45"/>
    <w:rsid w:val="00D906AD"/>
    <w:rsid w:val="00D9095A"/>
    <w:rsid w:val="00D9105D"/>
    <w:rsid w:val="00D920F1"/>
    <w:rsid w:val="00D92BE8"/>
    <w:rsid w:val="00D948CB"/>
    <w:rsid w:val="00D9554E"/>
    <w:rsid w:val="00D96890"/>
    <w:rsid w:val="00D9717F"/>
    <w:rsid w:val="00DA009A"/>
    <w:rsid w:val="00DA0863"/>
    <w:rsid w:val="00DA21B1"/>
    <w:rsid w:val="00DA23F1"/>
    <w:rsid w:val="00DA4031"/>
    <w:rsid w:val="00DA4499"/>
    <w:rsid w:val="00DA4505"/>
    <w:rsid w:val="00DA6A1B"/>
    <w:rsid w:val="00DA6B94"/>
    <w:rsid w:val="00DA6BCA"/>
    <w:rsid w:val="00DA7783"/>
    <w:rsid w:val="00DB0430"/>
    <w:rsid w:val="00DB0F08"/>
    <w:rsid w:val="00DB3A8D"/>
    <w:rsid w:val="00DB5905"/>
    <w:rsid w:val="00DB7AA6"/>
    <w:rsid w:val="00DB7EE3"/>
    <w:rsid w:val="00DC00AF"/>
    <w:rsid w:val="00DC08FF"/>
    <w:rsid w:val="00DC216B"/>
    <w:rsid w:val="00DC28EB"/>
    <w:rsid w:val="00DC3A6E"/>
    <w:rsid w:val="00DC3C35"/>
    <w:rsid w:val="00DC4FFE"/>
    <w:rsid w:val="00DC6DC9"/>
    <w:rsid w:val="00DD2F60"/>
    <w:rsid w:val="00DD338C"/>
    <w:rsid w:val="00DD3B91"/>
    <w:rsid w:val="00DD4424"/>
    <w:rsid w:val="00DD4E3A"/>
    <w:rsid w:val="00DD5135"/>
    <w:rsid w:val="00DD6296"/>
    <w:rsid w:val="00DD790F"/>
    <w:rsid w:val="00DE03B2"/>
    <w:rsid w:val="00DE055F"/>
    <w:rsid w:val="00DE07BD"/>
    <w:rsid w:val="00DE0D89"/>
    <w:rsid w:val="00DE1566"/>
    <w:rsid w:val="00DE39BA"/>
    <w:rsid w:val="00DE48BD"/>
    <w:rsid w:val="00DE570A"/>
    <w:rsid w:val="00DE7033"/>
    <w:rsid w:val="00DF0CAE"/>
    <w:rsid w:val="00DF51E5"/>
    <w:rsid w:val="00DF5CC4"/>
    <w:rsid w:val="00E01271"/>
    <w:rsid w:val="00E01B5B"/>
    <w:rsid w:val="00E02525"/>
    <w:rsid w:val="00E02E15"/>
    <w:rsid w:val="00E0319C"/>
    <w:rsid w:val="00E03649"/>
    <w:rsid w:val="00E0483E"/>
    <w:rsid w:val="00E06BD9"/>
    <w:rsid w:val="00E10A19"/>
    <w:rsid w:val="00E11E60"/>
    <w:rsid w:val="00E11FA8"/>
    <w:rsid w:val="00E130CB"/>
    <w:rsid w:val="00E130EB"/>
    <w:rsid w:val="00E13D45"/>
    <w:rsid w:val="00E141E2"/>
    <w:rsid w:val="00E14873"/>
    <w:rsid w:val="00E15E44"/>
    <w:rsid w:val="00E203E0"/>
    <w:rsid w:val="00E20AA9"/>
    <w:rsid w:val="00E22483"/>
    <w:rsid w:val="00E23472"/>
    <w:rsid w:val="00E253B2"/>
    <w:rsid w:val="00E307D3"/>
    <w:rsid w:val="00E309DE"/>
    <w:rsid w:val="00E31CC9"/>
    <w:rsid w:val="00E32928"/>
    <w:rsid w:val="00E338EB"/>
    <w:rsid w:val="00E33E02"/>
    <w:rsid w:val="00E34064"/>
    <w:rsid w:val="00E34A81"/>
    <w:rsid w:val="00E35958"/>
    <w:rsid w:val="00E35F77"/>
    <w:rsid w:val="00E36461"/>
    <w:rsid w:val="00E419AA"/>
    <w:rsid w:val="00E44222"/>
    <w:rsid w:val="00E44619"/>
    <w:rsid w:val="00E46ADE"/>
    <w:rsid w:val="00E4744B"/>
    <w:rsid w:val="00E4793E"/>
    <w:rsid w:val="00E50193"/>
    <w:rsid w:val="00E50CCD"/>
    <w:rsid w:val="00E51172"/>
    <w:rsid w:val="00E514F3"/>
    <w:rsid w:val="00E523E3"/>
    <w:rsid w:val="00E52680"/>
    <w:rsid w:val="00E5335E"/>
    <w:rsid w:val="00E5498A"/>
    <w:rsid w:val="00E557AA"/>
    <w:rsid w:val="00E55A9E"/>
    <w:rsid w:val="00E56598"/>
    <w:rsid w:val="00E5685C"/>
    <w:rsid w:val="00E62EFD"/>
    <w:rsid w:val="00E6354E"/>
    <w:rsid w:val="00E64D5C"/>
    <w:rsid w:val="00E6712F"/>
    <w:rsid w:val="00E6713D"/>
    <w:rsid w:val="00E676C9"/>
    <w:rsid w:val="00E67A81"/>
    <w:rsid w:val="00E70458"/>
    <w:rsid w:val="00E71811"/>
    <w:rsid w:val="00E73D66"/>
    <w:rsid w:val="00E73DA3"/>
    <w:rsid w:val="00E74A47"/>
    <w:rsid w:val="00E74C12"/>
    <w:rsid w:val="00E7547F"/>
    <w:rsid w:val="00E757B1"/>
    <w:rsid w:val="00E763E4"/>
    <w:rsid w:val="00E77C59"/>
    <w:rsid w:val="00E8226A"/>
    <w:rsid w:val="00E82345"/>
    <w:rsid w:val="00E8257E"/>
    <w:rsid w:val="00E82A86"/>
    <w:rsid w:val="00E82B38"/>
    <w:rsid w:val="00E83367"/>
    <w:rsid w:val="00E8497C"/>
    <w:rsid w:val="00E85A69"/>
    <w:rsid w:val="00E86AD4"/>
    <w:rsid w:val="00E86EDB"/>
    <w:rsid w:val="00E915D2"/>
    <w:rsid w:val="00E91F87"/>
    <w:rsid w:val="00E92194"/>
    <w:rsid w:val="00E921D2"/>
    <w:rsid w:val="00E94B34"/>
    <w:rsid w:val="00E965F1"/>
    <w:rsid w:val="00E969E0"/>
    <w:rsid w:val="00E97225"/>
    <w:rsid w:val="00EA0619"/>
    <w:rsid w:val="00EA093F"/>
    <w:rsid w:val="00EA108B"/>
    <w:rsid w:val="00EA1A27"/>
    <w:rsid w:val="00EA1C4E"/>
    <w:rsid w:val="00EA31BE"/>
    <w:rsid w:val="00EA3267"/>
    <w:rsid w:val="00EA3A78"/>
    <w:rsid w:val="00EA3C26"/>
    <w:rsid w:val="00EA5BEE"/>
    <w:rsid w:val="00EA6044"/>
    <w:rsid w:val="00EA694B"/>
    <w:rsid w:val="00EA6EAF"/>
    <w:rsid w:val="00EB0336"/>
    <w:rsid w:val="00EB167F"/>
    <w:rsid w:val="00EB2ACA"/>
    <w:rsid w:val="00EB3924"/>
    <w:rsid w:val="00EB394A"/>
    <w:rsid w:val="00EB69A6"/>
    <w:rsid w:val="00EB6C1B"/>
    <w:rsid w:val="00EB7197"/>
    <w:rsid w:val="00EC0F70"/>
    <w:rsid w:val="00EC1738"/>
    <w:rsid w:val="00EC2ACC"/>
    <w:rsid w:val="00EC3BD2"/>
    <w:rsid w:val="00EC41BB"/>
    <w:rsid w:val="00EC41DE"/>
    <w:rsid w:val="00EC42E3"/>
    <w:rsid w:val="00EC458C"/>
    <w:rsid w:val="00EC4B25"/>
    <w:rsid w:val="00EC4CF4"/>
    <w:rsid w:val="00EC546E"/>
    <w:rsid w:val="00ED125C"/>
    <w:rsid w:val="00ED1610"/>
    <w:rsid w:val="00ED16E2"/>
    <w:rsid w:val="00ED1763"/>
    <w:rsid w:val="00ED192D"/>
    <w:rsid w:val="00ED1C4E"/>
    <w:rsid w:val="00ED33BB"/>
    <w:rsid w:val="00ED3902"/>
    <w:rsid w:val="00ED48A4"/>
    <w:rsid w:val="00ED4FD1"/>
    <w:rsid w:val="00EE0B8F"/>
    <w:rsid w:val="00EE2F73"/>
    <w:rsid w:val="00EE3857"/>
    <w:rsid w:val="00EE3C1F"/>
    <w:rsid w:val="00EE414D"/>
    <w:rsid w:val="00EE6753"/>
    <w:rsid w:val="00EF0821"/>
    <w:rsid w:val="00EF0B65"/>
    <w:rsid w:val="00EF1173"/>
    <w:rsid w:val="00EF22EF"/>
    <w:rsid w:val="00EF2495"/>
    <w:rsid w:val="00EF2642"/>
    <w:rsid w:val="00EF2DAA"/>
    <w:rsid w:val="00EF2E28"/>
    <w:rsid w:val="00EF4111"/>
    <w:rsid w:val="00EF4336"/>
    <w:rsid w:val="00EF4FC4"/>
    <w:rsid w:val="00EF55E4"/>
    <w:rsid w:val="00EF7CEB"/>
    <w:rsid w:val="00F01188"/>
    <w:rsid w:val="00F04D5A"/>
    <w:rsid w:val="00F06986"/>
    <w:rsid w:val="00F0764B"/>
    <w:rsid w:val="00F079ED"/>
    <w:rsid w:val="00F07A22"/>
    <w:rsid w:val="00F108B2"/>
    <w:rsid w:val="00F113F0"/>
    <w:rsid w:val="00F11B73"/>
    <w:rsid w:val="00F11E63"/>
    <w:rsid w:val="00F11FE8"/>
    <w:rsid w:val="00F123D8"/>
    <w:rsid w:val="00F12C00"/>
    <w:rsid w:val="00F133EB"/>
    <w:rsid w:val="00F142B5"/>
    <w:rsid w:val="00F14BF8"/>
    <w:rsid w:val="00F1615C"/>
    <w:rsid w:val="00F16310"/>
    <w:rsid w:val="00F1633E"/>
    <w:rsid w:val="00F1647B"/>
    <w:rsid w:val="00F17368"/>
    <w:rsid w:val="00F20A49"/>
    <w:rsid w:val="00F20C13"/>
    <w:rsid w:val="00F21462"/>
    <w:rsid w:val="00F22B5D"/>
    <w:rsid w:val="00F22E0E"/>
    <w:rsid w:val="00F2312C"/>
    <w:rsid w:val="00F24405"/>
    <w:rsid w:val="00F24B65"/>
    <w:rsid w:val="00F25C73"/>
    <w:rsid w:val="00F305D7"/>
    <w:rsid w:val="00F31A64"/>
    <w:rsid w:val="00F32DBA"/>
    <w:rsid w:val="00F33180"/>
    <w:rsid w:val="00F33ED8"/>
    <w:rsid w:val="00F340B2"/>
    <w:rsid w:val="00F34945"/>
    <w:rsid w:val="00F34D75"/>
    <w:rsid w:val="00F35615"/>
    <w:rsid w:val="00F413E9"/>
    <w:rsid w:val="00F41C41"/>
    <w:rsid w:val="00F4399E"/>
    <w:rsid w:val="00F43EDF"/>
    <w:rsid w:val="00F450AC"/>
    <w:rsid w:val="00F45CD3"/>
    <w:rsid w:val="00F47B97"/>
    <w:rsid w:val="00F50BC2"/>
    <w:rsid w:val="00F52099"/>
    <w:rsid w:val="00F52598"/>
    <w:rsid w:val="00F526D4"/>
    <w:rsid w:val="00F535F0"/>
    <w:rsid w:val="00F5431E"/>
    <w:rsid w:val="00F54656"/>
    <w:rsid w:val="00F55A62"/>
    <w:rsid w:val="00F567BE"/>
    <w:rsid w:val="00F5681D"/>
    <w:rsid w:val="00F60A96"/>
    <w:rsid w:val="00F61CF2"/>
    <w:rsid w:val="00F627B4"/>
    <w:rsid w:val="00F65AB8"/>
    <w:rsid w:val="00F6627D"/>
    <w:rsid w:val="00F6761B"/>
    <w:rsid w:val="00F72692"/>
    <w:rsid w:val="00F7629A"/>
    <w:rsid w:val="00F763E1"/>
    <w:rsid w:val="00F803A5"/>
    <w:rsid w:val="00F874D5"/>
    <w:rsid w:val="00F87627"/>
    <w:rsid w:val="00F90333"/>
    <w:rsid w:val="00F913DD"/>
    <w:rsid w:val="00F93B01"/>
    <w:rsid w:val="00F959F5"/>
    <w:rsid w:val="00F977A8"/>
    <w:rsid w:val="00F97E76"/>
    <w:rsid w:val="00FA06FF"/>
    <w:rsid w:val="00FA0EBF"/>
    <w:rsid w:val="00FA2501"/>
    <w:rsid w:val="00FA3849"/>
    <w:rsid w:val="00FA3D39"/>
    <w:rsid w:val="00FA48A2"/>
    <w:rsid w:val="00FA4DE4"/>
    <w:rsid w:val="00FA7063"/>
    <w:rsid w:val="00FA7100"/>
    <w:rsid w:val="00FA7A83"/>
    <w:rsid w:val="00FA7B01"/>
    <w:rsid w:val="00FB28A2"/>
    <w:rsid w:val="00FB3989"/>
    <w:rsid w:val="00FB3D30"/>
    <w:rsid w:val="00FB44E9"/>
    <w:rsid w:val="00FB5082"/>
    <w:rsid w:val="00FC0E71"/>
    <w:rsid w:val="00FC17C2"/>
    <w:rsid w:val="00FC4B08"/>
    <w:rsid w:val="00FC6D2F"/>
    <w:rsid w:val="00FC6E27"/>
    <w:rsid w:val="00FC7B68"/>
    <w:rsid w:val="00FD099A"/>
    <w:rsid w:val="00FD1FBE"/>
    <w:rsid w:val="00FD4AAA"/>
    <w:rsid w:val="00FD50D4"/>
    <w:rsid w:val="00FD58D6"/>
    <w:rsid w:val="00FD5C79"/>
    <w:rsid w:val="00FD615C"/>
    <w:rsid w:val="00FD7192"/>
    <w:rsid w:val="00FD77BB"/>
    <w:rsid w:val="00FE0178"/>
    <w:rsid w:val="00FE0A7A"/>
    <w:rsid w:val="00FE23B1"/>
    <w:rsid w:val="00FE3031"/>
    <w:rsid w:val="00FE3610"/>
    <w:rsid w:val="00FE7794"/>
    <w:rsid w:val="00FF11C9"/>
    <w:rsid w:val="00FF2FA5"/>
    <w:rsid w:val="00FF4288"/>
    <w:rsid w:val="00FF573D"/>
    <w:rsid w:val="00FF5AE5"/>
    <w:rsid w:val="00FF76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docId w15:val="{78FA23EF-7109-46EC-8395-9C20ADDD3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55CF1"/>
    <w:rPr>
      <w:sz w:val="24"/>
      <w:szCs w:val="24"/>
    </w:rPr>
  </w:style>
  <w:style w:type="paragraph" w:styleId="Ttulo2">
    <w:name w:val="heading 2"/>
    <w:basedOn w:val="Normal"/>
    <w:next w:val="Normal"/>
    <w:qFormat/>
    <w:rsid w:val="00991BA3"/>
    <w:pPr>
      <w:keepNext/>
      <w:tabs>
        <w:tab w:val="left" w:pos="645"/>
        <w:tab w:val="center" w:pos="8280"/>
      </w:tabs>
      <w:spacing w:before="240" w:after="240"/>
      <w:jc w:val="center"/>
      <w:outlineLvl w:val="1"/>
    </w:pPr>
    <w:rPr>
      <w:rFonts w:ascii="Arial" w:hAnsi="Arial" w:cs="Arial"/>
      <w:b/>
      <w:bCs/>
      <w:sz w:val="22"/>
      <w:szCs w:val="28"/>
      <w:lang w:val="en-US" w:eastAsia="en-US"/>
    </w:rPr>
  </w:style>
  <w:style w:type="paragraph" w:styleId="Ttulo3">
    <w:name w:val="heading 3"/>
    <w:basedOn w:val="Normal"/>
    <w:next w:val="Normal"/>
    <w:qFormat/>
    <w:rsid w:val="00991BA3"/>
    <w:pPr>
      <w:keepNext/>
      <w:tabs>
        <w:tab w:val="left" w:pos="645"/>
        <w:tab w:val="center" w:pos="8280"/>
      </w:tabs>
      <w:spacing w:before="240" w:after="240"/>
      <w:outlineLvl w:val="2"/>
    </w:pPr>
    <w:rPr>
      <w:rFonts w:ascii="Arial" w:hAnsi="Arial" w:cs="Arial"/>
      <w:b/>
      <w:bCs/>
      <w:sz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B65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3774A9"/>
    <w:pPr>
      <w:tabs>
        <w:tab w:val="center" w:pos="4419"/>
        <w:tab w:val="right" w:pos="8838"/>
      </w:tabs>
    </w:pPr>
    <w:rPr>
      <w:lang w:val="es-ES" w:eastAsia="es-ES"/>
    </w:rPr>
  </w:style>
  <w:style w:type="paragraph" w:styleId="Textonotapie">
    <w:name w:val="footnote text"/>
    <w:basedOn w:val="Normal"/>
    <w:semiHidden/>
    <w:rsid w:val="008473BF"/>
    <w:pPr>
      <w:spacing w:before="60"/>
      <w:jc w:val="both"/>
    </w:pPr>
    <w:rPr>
      <w:rFonts w:ascii="Arial" w:hAnsi="Arial"/>
      <w:sz w:val="20"/>
      <w:szCs w:val="20"/>
      <w:lang w:val="es-ES" w:eastAsia="es-ES"/>
    </w:rPr>
  </w:style>
  <w:style w:type="character" w:styleId="Refdenotaalpie">
    <w:name w:val="footnote reference"/>
    <w:basedOn w:val="Fuentedeprrafopredeter"/>
    <w:semiHidden/>
    <w:rsid w:val="008473BF"/>
    <w:rPr>
      <w:vertAlign w:val="superscript"/>
    </w:rPr>
  </w:style>
  <w:style w:type="paragraph" w:styleId="NormalWeb">
    <w:name w:val="Normal (Web)"/>
    <w:basedOn w:val="Normal"/>
    <w:rsid w:val="009A6798"/>
    <w:pPr>
      <w:spacing w:before="100" w:beforeAutospacing="1" w:after="100" w:afterAutospacing="1"/>
    </w:pPr>
    <w:rPr>
      <w:lang w:val="es-ES" w:eastAsia="es-ES"/>
    </w:rPr>
  </w:style>
  <w:style w:type="paragraph" w:styleId="Piedepgina">
    <w:name w:val="footer"/>
    <w:basedOn w:val="Normal"/>
    <w:rsid w:val="004435D6"/>
    <w:pPr>
      <w:tabs>
        <w:tab w:val="center" w:pos="4419"/>
        <w:tab w:val="right" w:pos="8838"/>
      </w:tabs>
    </w:pPr>
  </w:style>
  <w:style w:type="paragraph" w:customStyle="1" w:styleId="Prrafo">
    <w:name w:val="Párrafo"/>
    <w:basedOn w:val="Normal"/>
    <w:link w:val="PrrafoCar"/>
    <w:rsid w:val="00991BA3"/>
    <w:pPr>
      <w:tabs>
        <w:tab w:val="left" w:pos="645"/>
        <w:tab w:val="center" w:pos="8280"/>
      </w:tabs>
      <w:spacing w:before="120"/>
      <w:jc w:val="both"/>
    </w:pPr>
    <w:rPr>
      <w:rFonts w:ascii="Arial" w:hAnsi="Arial" w:cs="Arial"/>
      <w:sz w:val="22"/>
      <w:lang w:eastAsia="en-US"/>
    </w:rPr>
  </w:style>
  <w:style w:type="character" w:customStyle="1" w:styleId="PrrafoCar">
    <w:name w:val="Párrafo Car"/>
    <w:basedOn w:val="Fuentedeprrafopredeter"/>
    <w:link w:val="Prrafo"/>
    <w:rsid w:val="00991BA3"/>
    <w:rPr>
      <w:rFonts w:ascii="Arial" w:hAnsi="Arial" w:cs="Arial"/>
      <w:sz w:val="22"/>
      <w:szCs w:val="24"/>
      <w:lang w:val="es-MX" w:eastAsia="en-US" w:bidi="ar-SA"/>
    </w:rPr>
  </w:style>
  <w:style w:type="paragraph" w:customStyle="1" w:styleId="prrafo0">
    <w:name w:val="prrafo"/>
    <w:basedOn w:val="Normal"/>
    <w:rsid w:val="00991BA3"/>
    <w:pPr>
      <w:autoSpaceDE w:val="0"/>
      <w:autoSpaceDN w:val="0"/>
      <w:spacing w:before="120" w:after="240"/>
      <w:jc w:val="both"/>
    </w:pPr>
    <w:rPr>
      <w:rFonts w:ascii="Arial" w:hAnsi="Arial" w:cs="Arial"/>
      <w:sz w:val="22"/>
      <w:szCs w:val="22"/>
    </w:rPr>
  </w:style>
  <w:style w:type="paragraph" w:customStyle="1" w:styleId="nmero">
    <w:name w:val="nmero"/>
    <w:basedOn w:val="Normal"/>
    <w:rsid w:val="00991BA3"/>
    <w:pPr>
      <w:autoSpaceDE w:val="0"/>
      <w:autoSpaceDN w:val="0"/>
      <w:spacing w:before="120" w:after="240"/>
      <w:jc w:val="both"/>
    </w:pPr>
    <w:rPr>
      <w:rFonts w:ascii="Arial" w:hAnsi="Arial" w:cs="Arial"/>
      <w:sz w:val="22"/>
      <w:szCs w:val="22"/>
    </w:rPr>
  </w:style>
  <w:style w:type="paragraph" w:customStyle="1" w:styleId="numeral">
    <w:name w:val="numeral"/>
    <w:basedOn w:val="Normal"/>
    <w:rsid w:val="00991BA3"/>
    <w:pPr>
      <w:autoSpaceDE w:val="0"/>
      <w:autoSpaceDN w:val="0"/>
      <w:spacing w:before="120" w:after="240"/>
      <w:jc w:val="both"/>
    </w:pPr>
    <w:rPr>
      <w:rFonts w:ascii="Arial" w:hAnsi="Arial" w:cs="Arial"/>
      <w:sz w:val="22"/>
      <w:szCs w:val="22"/>
    </w:rPr>
  </w:style>
  <w:style w:type="character" w:customStyle="1" w:styleId="prrafochar">
    <w:name w:val="prrafochar"/>
    <w:basedOn w:val="Fuentedeprrafopredeter"/>
    <w:rsid w:val="00991BA3"/>
    <w:rPr>
      <w:rFonts w:ascii="Arial" w:hAnsi="Arial" w:cs="Arial" w:hint="default"/>
    </w:rPr>
  </w:style>
  <w:style w:type="paragraph" w:styleId="Textodeglobo">
    <w:name w:val="Balloon Text"/>
    <w:basedOn w:val="Normal"/>
    <w:semiHidden/>
    <w:rsid w:val="00ED1763"/>
    <w:rPr>
      <w:rFonts w:ascii="Tahoma" w:hAnsi="Tahoma" w:cs="Tahoma"/>
      <w:sz w:val="16"/>
      <w:szCs w:val="16"/>
    </w:rPr>
  </w:style>
  <w:style w:type="character" w:styleId="Nmerodepgina">
    <w:name w:val="page number"/>
    <w:basedOn w:val="Fuentedeprrafopredeter"/>
    <w:rsid w:val="00884FDC"/>
  </w:style>
  <w:style w:type="paragraph" w:customStyle="1" w:styleId="Numeral0">
    <w:name w:val="Numeral"/>
    <w:basedOn w:val="Prrafo"/>
    <w:rsid w:val="003268DE"/>
    <w:pPr>
      <w:tabs>
        <w:tab w:val="clear" w:pos="645"/>
        <w:tab w:val="clear" w:pos="8280"/>
      </w:tabs>
      <w:autoSpaceDE w:val="0"/>
      <w:autoSpaceDN w:val="0"/>
      <w:adjustRightInd w:val="0"/>
      <w:spacing w:after="240"/>
    </w:pPr>
    <w:rPr>
      <w:rFonts w:cs="Times New Roman"/>
    </w:rPr>
  </w:style>
  <w:style w:type="character" w:styleId="Textoennegrita">
    <w:name w:val="Strong"/>
    <w:basedOn w:val="Fuentedeprrafopredeter"/>
    <w:qFormat/>
    <w:rsid w:val="00E8497C"/>
    <w:rPr>
      <w:b/>
      <w:bCs/>
    </w:rPr>
  </w:style>
  <w:style w:type="paragraph" w:styleId="Sangradetextonormal">
    <w:name w:val="Body Text Indent"/>
    <w:basedOn w:val="Normal"/>
    <w:rsid w:val="001240FC"/>
    <w:pPr>
      <w:tabs>
        <w:tab w:val="left" w:pos="7097"/>
      </w:tabs>
      <w:ind w:left="67"/>
    </w:pPr>
    <w:rPr>
      <w:rFonts w:ascii="Arial" w:hAnsi="Arial" w:cs="Arial"/>
      <w:sz w:val="20"/>
      <w:lang w:eastAsia="es-ES"/>
    </w:rPr>
  </w:style>
  <w:style w:type="paragraph" w:styleId="Prrafodelista">
    <w:name w:val="List Paragraph"/>
    <w:basedOn w:val="Normal"/>
    <w:uiPriority w:val="34"/>
    <w:qFormat/>
    <w:rsid w:val="00B54A6A"/>
    <w:pPr>
      <w:spacing w:after="200" w:line="276" w:lineRule="auto"/>
      <w:ind w:left="720"/>
      <w:contextualSpacing/>
    </w:pPr>
    <w:rPr>
      <w:rFonts w:ascii="Calibri" w:eastAsia="Calibri" w:hAnsi="Calibri"/>
      <w:sz w:val="22"/>
      <w:szCs w:val="22"/>
      <w:lang w:val="es-ES" w:eastAsia="en-US"/>
    </w:rPr>
  </w:style>
  <w:style w:type="paragraph" w:customStyle="1" w:styleId="western">
    <w:name w:val="western"/>
    <w:basedOn w:val="Normal"/>
    <w:rsid w:val="005E7153"/>
    <w:pPr>
      <w:spacing w:before="100" w:beforeAutospacing="1" w:after="100" w:afterAutospacing="1"/>
    </w:pPr>
    <w:rPr>
      <w:lang w:val="en-US" w:eastAsia="en-US"/>
    </w:rPr>
  </w:style>
  <w:style w:type="paragraph" w:customStyle="1" w:styleId="Texto">
    <w:name w:val="Texto"/>
    <w:basedOn w:val="Normal"/>
    <w:link w:val="TextoCar"/>
    <w:rsid w:val="00622636"/>
    <w:pPr>
      <w:spacing w:after="101" w:line="216" w:lineRule="exact"/>
      <w:ind w:firstLine="288"/>
      <w:jc w:val="both"/>
    </w:pPr>
    <w:rPr>
      <w:rFonts w:ascii="Arial" w:hAnsi="Arial" w:cs="Arial"/>
      <w:sz w:val="18"/>
      <w:szCs w:val="18"/>
    </w:rPr>
  </w:style>
  <w:style w:type="character" w:customStyle="1" w:styleId="TextoCar">
    <w:name w:val="Texto Car"/>
    <w:basedOn w:val="Fuentedeprrafopredeter"/>
    <w:link w:val="Texto"/>
    <w:rsid w:val="00622636"/>
    <w:rPr>
      <w:rFonts w:ascii="Arial" w:hAnsi="Arial" w:cs="Arial"/>
      <w:sz w:val="18"/>
      <w:szCs w:val="18"/>
    </w:rPr>
  </w:style>
  <w:style w:type="character" w:customStyle="1" w:styleId="apple-converted-space">
    <w:name w:val="apple-converted-space"/>
    <w:basedOn w:val="Fuentedeprrafopredeter"/>
    <w:rsid w:val="00E757B1"/>
  </w:style>
  <w:style w:type="character" w:styleId="Refdecomentario">
    <w:name w:val="annotation reference"/>
    <w:basedOn w:val="Fuentedeprrafopredeter"/>
    <w:rsid w:val="00ED125C"/>
    <w:rPr>
      <w:sz w:val="16"/>
      <w:szCs w:val="16"/>
    </w:rPr>
  </w:style>
  <w:style w:type="paragraph" w:styleId="Textocomentario">
    <w:name w:val="annotation text"/>
    <w:basedOn w:val="Normal"/>
    <w:link w:val="TextocomentarioCar"/>
    <w:rsid w:val="00ED125C"/>
    <w:rPr>
      <w:sz w:val="20"/>
      <w:szCs w:val="20"/>
    </w:rPr>
  </w:style>
  <w:style w:type="character" w:customStyle="1" w:styleId="TextocomentarioCar">
    <w:name w:val="Texto comentario Car"/>
    <w:basedOn w:val="Fuentedeprrafopredeter"/>
    <w:link w:val="Textocomentario"/>
    <w:rsid w:val="00ED125C"/>
  </w:style>
  <w:style w:type="paragraph" w:styleId="Asuntodelcomentario">
    <w:name w:val="annotation subject"/>
    <w:basedOn w:val="Textocomentario"/>
    <w:next w:val="Textocomentario"/>
    <w:link w:val="AsuntodelcomentarioCar"/>
    <w:rsid w:val="00ED125C"/>
    <w:rPr>
      <w:b/>
      <w:bCs/>
    </w:rPr>
  </w:style>
  <w:style w:type="character" w:customStyle="1" w:styleId="AsuntodelcomentarioCar">
    <w:name w:val="Asunto del comentario Car"/>
    <w:basedOn w:val="TextocomentarioCar"/>
    <w:link w:val="Asuntodelcomentario"/>
    <w:rsid w:val="00ED125C"/>
    <w:rPr>
      <w:b/>
      <w:bCs/>
    </w:rPr>
  </w:style>
  <w:style w:type="paragraph" w:styleId="Revisin">
    <w:name w:val="Revision"/>
    <w:hidden/>
    <w:uiPriority w:val="99"/>
    <w:semiHidden/>
    <w:rsid w:val="00ED125C"/>
    <w:rPr>
      <w:sz w:val="24"/>
      <w:szCs w:val="24"/>
    </w:rPr>
  </w:style>
  <w:style w:type="character" w:styleId="Textodelmarcadordeposicin">
    <w:name w:val="Placeholder Text"/>
    <w:basedOn w:val="Fuentedeprrafopredeter"/>
    <w:uiPriority w:val="99"/>
    <w:semiHidden/>
    <w:rsid w:val="004069C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2424807">
      <w:bodyDiv w:val="1"/>
      <w:marLeft w:val="0"/>
      <w:marRight w:val="0"/>
      <w:marTop w:val="0"/>
      <w:marBottom w:val="0"/>
      <w:divBdr>
        <w:top w:val="none" w:sz="0" w:space="0" w:color="auto"/>
        <w:left w:val="none" w:sz="0" w:space="0" w:color="auto"/>
        <w:bottom w:val="none" w:sz="0" w:space="0" w:color="auto"/>
        <w:right w:val="none" w:sz="0" w:space="0" w:color="auto"/>
      </w:divBdr>
    </w:div>
    <w:div w:id="716858338">
      <w:bodyDiv w:val="1"/>
      <w:marLeft w:val="0"/>
      <w:marRight w:val="0"/>
      <w:marTop w:val="0"/>
      <w:marBottom w:val="0"/>
      <w:divBdr>
        <w:top w:val="none" w:sz="0" w:space="0" w:color="auto"/>
        <w:left w:val="none" w:sz="0" w:space="0" w:color="auto"/>
        <w:bottom w:val="none" w:sz="0" w:space="0" w:color="auto"/>
        <w:right w:val="none" w:sz="0" w:space="0" w:color="auto"/>
      </w:divBdr>
    </w:div>
    <w:div w:id="1555192798">
      <w:bodyDiv w:val="1"/>
      <w:marLeft w:val="0"/>
      <w:marRight w:val="0"/>
      <w:marTop w:val="0"/>
      <w:marBottom w:val="0"/>
      <w:divBdr>
        <w:top w:val="none" w:sz="0" w:space="0" w:color="auto"/>
        <w:left w:val="none" w:sz="0" w:space="0" w:color="auto"/>
        <w:bottom w:val="none" w:sz="0" w:space="0" w:color="auto"/>
        <w:right w:val="none" w:sz="0" w:space="0" w:color="auto"/>
      </w:divBdr>
    </w:div>
    <w:div w:id="2100367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sz="1200"/>
            </a:pPr>
            <a:r>
              <a:rPr lang="en-US" sz="1200" b="1" i="0" u="none" strike="noStrike" baseline="0">
                <a:effectLst/>
              </a:rPr>
              <a:t>Existencia final mensual para el </a:t>
            </a:r>
            <a:r>
              <a:rPr lang="en-US" sz="1200" b="1" i="0" baseline="0">
                <a:effectLst/>
              </a:rPr>
              <a:t>año 2017</a:t>
            </a:r>
            <a:endParaRPr lang="en-US" sz="1200" baseline="0"/>
          </a:p>
          <a:p>
            <a:pPr algn="ctr">
              <a:defRPr sz="1200"/>
            </a:pPr>
            <a:r>
              <a:rPr lang="en-US" sz="1200" baseline="0"/>
              <a:t>(r</a:t>
            </a:r>
            <a:r>
              <a:rPr lang="en-US" sz="1200"/>
              <a:t>ecursos disponibles para inversión del </a:t>
            </a:r>
            <a:r>
              <a:rPr lang="en-US" sz="1200" b="1" i="0" u="none" strike="noStrike" kern="1200" baseline="0">
                <a:solidFill>
                  <a:sysClr val="windowText" lastClr="000000"/>
                </a:solidFill>
                <a:latin typeface="+mn-lt"/>
                <a:ea typeface="+mn-ea"/>
                <a:cs typeface="+mn-cs"/>
              </a:rPr>
              <a:t>INFONAVIT</a:t>
            </a:r>
            <a:r>
              <a:rPr lang="en-US" sz="1200"/>
              <a:t>) </a:t>
            </a:r>
          </a:p>
          <a:p>
            <a:pPr algn="ctr">
              <a:defRPr sz="1200"/>
            </a:pPr>
            <a:r>
              <a:rPr lang="en-US" sz="1200"/>
              <a:t>cifras del Plan Financiero 2017-2021</a:t>
            </a:r>
            <a:r>
              <a:rPr lang="en-US" sz="1200" baseline="0"/>
              <a:t> </a:t>
            </a:r>
            <a:r>
              <a:rPr lang="en-US" sz="1200"/>
              <a:t> </a:t>
            </a:r>
          </a:p>
        </c:rich>
      </c:tx>
      <c:layout>
        <c:manualLayout>
          <c:xMode val="edge"/>
          <c:yMode val="edge"/>
          <c:x val="0.22078703703703703"/>
          <c:y val="0"/>
        </c:manualLayout>
      </c:layout>
      <c:overlay val="0"/>
    </c:title>
    <c:autoTitleDeleted val="0"/>
    <c:plotArea>
      <c:layout/>
      <c:lineChart>
        <c:grouping val="standard"/>
        <c:varyColors val="0"/>
        <c:ser>
          <c:idx val="0"/>
          <c:order val="0"/>
          <c:tx>
            <c:strRef>
              <c:f>Hoja1!$B$1</c:f>
              <c:strCache>
                <c:ptCount val="1"/>
                <c:pt idx="0">
                  <c:v>Serie 1</c:v>
                </c:pt>
              </c:strCache>
            </c:strRef>
          </c:tx>
          <c:marker>
            <c:symbol val="none"/>
          </c:marker>
          <c:cat>
            <c:numRef>
              <c:f>Hoja1!$A$2:$A$14</c:f>
              <c:numCache>
                <c:formatCode>mmm\-yy</c:formatCode>
                <c:ptCount val="13"/>
                <c:pt idx="0">
                  <c:v>42705</c:v>
                </c:pt>
                <c:pt idx="1">
                  <c:v>42736</c:v>
                </c:pt>
                <c:pt idx="2">
                  <c:v>42767</c:v>
                </c:pt>
                <c:pt idx="3">
                  <c:v>42795</c:v>
                </c:pt>
                <c:pt idx="4">
                  <c:v>42826</c:v>
                </c:pt>
                <c:pt idx="5">
                  <c:v>42856</c:v>
                </c:pt>
                <c:pt idx="6">
                  <c:v>42887</c:v>
                </c:pt>
                <c:pt idx="7">
                  <c:v>42917</c:v>
                </c:pt>
                <c:pt idx="8">
                  <c:v>42948</c:v>
                </c:pt>
                <c:pt idx="9">
                  <c:v>42979</c:v>
                </c:pt>
                <c:pt idx="10">
                  <c:v>43009</c:v>
                </c:pt>
                <c:pt idx="11">
                  <c:v>43040</c:v>
                </c:pt>
                <c:pt idx="12">
                  <c:v>43070</c:v>
                </c:pt>
              </c:numCache>
            </c:numRef>
          </c:cat>
          <c:val>
            <c:numRef>
              <c:f>Hoja1!$B$2:$B$14</c:f>
              <c:numCache>
                <c:formatCode>_-* #,##0_-;\-* #,##0_-;_-* "-"??_-;_-@_-</c:formatCode>
                <c:ptCount val="13"/>
                <c:pt idx="0">
                  <c:v>115934.921</c:v>
                </c:pt>
                <c:pt idx="1">
                  <c:v>139497.31006117415</c:v>
                </c:pt>
                <c:pt idx="2">
                  <c:v>125023.3900688158</c:v>
                </c:pt>
                <c:pt idx="3">
                  <c:v>147851.04743679022</c:v>
                </c:pt>
                <c:pt idx="4">
                  <c:v>131412.99349661919</c:v>
                </c:pt>
                <c:pt idx="5">
                  <c:v>152681.1046752705</c:v>
                </c:pt>
                <c:pt idx="6">
                  <c:v>134212.11926523648</c:v>
                </c:pt>
                <c:pt idx="7">
                  <c:v>156716.77982486491</c:v>
                </c:pt>
                <c:pt idx="8">
                  <c:v>140754.83438830846</c:v>
                </c:pt>
                <c:pt idx="9">
                  <c:v>162957.06221089675</c:v>
                </c:pt>
                <c:pt idx="10">
                  <c:v>144230.67531023663</c:v>
                </c:pt>
                <c:pt idx="11">
                  <c:v>166927.30611916317</c:v>
                </c:pt>
                <c:pt idx="12">
                  <c:v>146330.36674719083</c:v>
                </c:pt>
              </c:numCache>
            </c:numRef>
          </c:val>
          <c:smooth val="0"/>
          <c:extLst>
            <c:ext xmlns:c16="http://schemas.microsoft.com/office/drawing/2014/chart" uri="{C3380CC4-5D6E-409C-BE32-E72D297353CC}">
              <c16:uniqueId val="{00000000-1BC8-4D94-A6A7-D1EB85A1E60C}"/>
            </c:ext>
          </c:extLst>
        </c:ser>
        <c:dLbls>
          <c:showLegendKey val="0"/>
          <c:showVal val="0"/>
          <c:showCatName val="0"/>
          <c:showSerName val="0"/>
          <c:showPercent val="0"/>
          <c:showBubbleSize val="0"/>
        </c:dLbls>
        <c:smooth val="0"/>
        <c:axId val="244576400"/>
        <c:axId val="245443424"/>
      </c:lineChart>
      <c:dateAx>
        <c:axId val="244576400"/>
        <c:scaling>
          <c:orientation val="minMax"/>
        </c:scaling>
        <c:delete val="0"/>
        <c:axPos val="b"/>
        <c:numFmt formatCode="mmm\-yy" sourceLinked="1"/>
        <c:majorTickMark val="out"/>
        <c:minorTickMark val="none"/>
        <c:tickLblPos val="nextTo"/>
        <c:txPr>
          <a:bodyPr rot="-5400000" vert="horz"/>
          <a:lstStyle/>
          <a:p>
            <a:pPr>
              <a:defRPr/>
            </a:pPr>
            <a:endParaRPr lang="es-MX"/>
          </a:p>
        </c:txPr>
        <c:crossAx val="245443424"/>
        <c:crosses val="autoZero"/>
        <c:auto val="1"/>
        <c:lblOffset val="100"/>
        <c:baseTimeUnit val="months"/>
      </c:dateAx>
      <c:valAx>
        <c:axId val="245443424"/>
        <c:scaling>
          <c:orientation val="minMax"/>
          <c:max val="170000"/>
          <c:min val="110000"/>
        </c:scaling>
        <c:delete val="0"/>
        <c:axPos val="l"/>
        <c:majorGridlines/>
        <c:numFmt formatCode="_-* #,##0_-;\-* #,##0_-;_-* &quot;-&quot;??_-;_-@_-" sourceLinked="1"/>
        <c:majorTickMark val="out"/>
        <c:minorTickMark val="none"/>
        <c:tickLblPos val="nextTo"/>
        <c:crossAx val="244576400"/>
        <c:crosses val="autoZero"/>
        <c:crossBetween val="midCat"/>
      </c:valAx>
    </c:plotArea>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04ADC-F83B-4085-9025-0A37E67C0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2162</Words>
  <Characters>11750</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Subdirección General de Planeación y Finanzas</vt:lpstr>
    </vt:vector>
  </TitlesOfParts>
  <Company>INFONAVIT</Company>
  <LinksUpToDate>false</LinksUpToDate>
  <CharactersWithSpaces>13885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Subdirección General de Planeación y Finanzas</dc:title>
  <dc:creator>IN098271</dc:creator>
  <cp:lastModifiedBy>Hernandez Moreno Marco Antonio</cp:lastModifiedBy>
  <cp:revision>3</cp:revision>
  <cp:lastPrinted>2018-03-14T18:24:00Z</cp:lastPrinted>
  <dcterms:created xsi:type="dcterms:W3CDTF">2018-03-14T18:25:00Z</dcterms:created>
  <dcterms:modified xsi:type="dcterms:W3CDTF">2018-05-09T16:09:00Z</dcterms:modified>
</cp:coreProperties>
</file>