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8700" w:type="dxa"/>
        <w:tblCellMar>
          <w:left w:w="0" w:type="dxa"/>
          <w:bottom w:w="150" w:type="dxa"/>
          <w:right w:w="0" w:type="dxa"/>
        </w:tblCellMar>
        <w:tblLook w:val="04A0" w:firstRow="1" w:lastRow="0" w:firstColumn="1" w:lastColumn="0" w:noHBand="0" w:noVBand="1"/>
      </w:tblPr>
      <w:tblGrid>
        <w:gridCol w:w="8700"/>
      </w:tblGrid>
      <w:tr w:rsidR="00C570E8" w:rsidRPr="00C570E8" w:rsidTr="00C570E8">
        <w:tc>
          <w:tcPr>
            <w:tcW w:w="0" w:type="auto"/>
            <w:tcBorders>
              <w:top w:val="nil"/>
              <w:left w:val="nil"/>
              <w:bottom w:val="nil"/>
              <w:right w:val="nil"/>
            </w:tcBorders>
            <w:tcMar>
              <w:top w:w="0" w:type="dxa"/>
              <w:left w:w="0" w:type="dxa"/>
              <w:bottom w:w="0" w:type="dxa"/>
              <w:right w:w="0" w:type="dxa"/>
            </w:tcMar>
            <w:hideMark/>
          </w:tcPr>
          <w:tbl>
            <w:tblPr>
              <w:tblW w:w="0" w:type="auto"/>
              <w:tblCellMar>
                <w:left w:w="0" w:type="dxa"/>
                <w:right w:w="0" w:type="dxa"/>
              </w:tblCellMar>
              <w:tblLook w:val="04A0" w:firstRow="1" w:lastRow="0" w:firstColumn="1" w:lastColumn="0" w:noHBand="0" w:noVBand="1"/>
            </w:tblPr>
            <w:tblGrid>
              <w:gridCol w:w="3189"/>
            </w:tblGrid>
            <w:tr w:rsidR="00C570E8" w:rsidRPr="00C570E8" w:rsidTr="00C570E8">
              <w:tc>
                <w:tcPr>
                  <w:tcW w:w="0" w:type="auto"/>
                  <w:tcBorders>
                    <w:top w:val="nil"/>
                    <w:left w:val="nil"/>
                    <w:bottom w:val="nil"/>
                    <w:right w:val="nil"/>
                  </w:tcBorders>
                  <w:vAlign w:val="center"/>
                  <w:hideMark/>
                </w:tcPr>
                <w:p w:rsidR="00C570E8" w:rsidRPr="00C570E8" w:rsidRDefault="00C570E8" w:rsidP="00C570E8">
                  <w:pPr>
                    <w:spacing w:after="0" w:line="240" w:lineRule="auto"/>
                    <w:rPr>
                      <w:rFonts w:ascii="Tahoma" w:eastAsia="Times New Roman" w:hAnsi="Tahoma" w:cs="Tahoma"/>
                      <w:sz w:val="18"/>
                      <w:szCs w:val="18"/>
                      <w:lang w:eastAsia="es-MX"/>
                    </w:rPr>
                  </w:pPr>
                  <w:r w:rsidRPr="00C570E8">
                    <w:rPr>
                      <w:rFonts w:ascii="Tahoma" w:eastAsia="Times New Roman" w:hAnsi="Tahoma" w:cs="Tahoma"/>
                      <w:sz w:val="18"/>
                      <w:szCs w:val="18"/>
                      <w:lang w:eastAsia="es-MX"/>
                    </w:rPr>
                    <w:t>Boletín núm. 039</w:t>
                  </w:r>
                </w:p>
              </w:tc>
            </w:tr>
            <w:tr w:rsidR="00C570E8" w:rsidRPr="00C570E8" w:rsidTr="00C570E8">
              <w:tc>
                <w:tcPr>
                  <w:tcW w:w="0" w:type="auto"/>
                  <w:tcBorders>
                    <w:top w:val="nil"/>
                    <w:left w:val="nil"/>
                    <w:bottom w:val="nil"/>
                    <w:right w:val="nil"/>
                  </w:tcBorders>
                  <w:vAlign w:val="center"/>
                  <w:hideMark/>
                </w:tcPr>
                <w:p w:rsidR="00C570E8" w:rsidRPr="00C570E8" w:rsidRDefault="00C570E8" w:rsidP="00C570E8">
                  <w:pPr>
                    <w:spacing w:after="0" w:line="240" w:lineRule="auto"/>
                    <w:rPr>
                      <w:rFonts w:ascii="Tahoma" w:eastAsia="Times New Roman" w:hAnsi="Tahoma" w:cs="Tahoma"/>
                      <w:sz w:val="18"/>
                      <w:szCs w:val="18"/>
                      <w:lang w:eastAsia="es-MX"/>
                    </w:rPr>
                  </w:pPr>
                </w:p>
              </w:tc>
            </w:tr>
            <w:tr w:rsidR="00C570E8" w:rsidRPr="00C570E8" w:rsidTr="00C570E8">
              <w:tc>
                <w:tcPr>
                  <w:tcW w:w="0" w:type="auto"/>
                  <w:tcBorders>
                    <w:top w:val="nil"/>
                    <w:left w:val="nil"/>
                    <w:bottom w:val="nil"/>
                    <w:right w:val="nil"/>
                  </w:tcBorders>
                  <w:vAlign w:val="center"/>
                  <w:hideMark/>
                </w:tcPr>
                <w:p w:rsidR="00C570E8" w:rsidRPr="00C570E8" w:rsidRDefault="00C570E8" w:rsidP="00C570E8">
                  <w:pPr>
                    <w:spacing w:after="0" w:line="240" w:lineRule="auto"/>
                    <w:rPr>
                      <w:rFonts w:ascii="Tahoma" w:eastAsia="Times New Roman" w:hAnsi="Tahoma" w:cs="Tahoma"/>
                      <w:sz w:val="18"/>
                      <w:szCs w:val="18"/>
                      <w:lang w:eastAsia="es-MX"/>
                    </w:rPr>
                  </w:pPr>
                  <w:r w:rsidRPr="00C570E8">
                    <w:rPr>
                      <w:rFonts w:ascii="Tahoma" w:eastAsia="Times New Roman" w:hAnsi="Tahoma" w:cs="Tahoma"/>
                      <w:sz w:val="18"/>
                      <w:szCs w:val="18"/>
                      <w:lang w:eastAsia="es-MX"/>
                    </w:rPr>
                    <w:t> Infonavit apoya a afectados por "Odile"</w:t>
                  </w:r>
                </w:p>
              </w:tc>
            </w:tr>
            <w:tr w:rsidR="00C570E8" w:rsidRPr="00C570E8" w:rsidTr="00C570E8">
              <w:tc>
                <w:tcPr>
                  <w:tcW w:w="0" w:type="auto"/>
                  <w:tcBorders>
                    <w:top w:val="nil"/>
                    <w:left w:val="nil"/>
                    <w:bottom w:val="nil"/>
                    <w:right w:val="nil"/>
                  </w:tcBorders>
                  <w:vAlign w:val="center"/>
                  <w:hideMark/>
                </w:tcPr>
                <w:p w:rsidR="00C570E8" w:rsidRPr="00C570E8" w:rsidRDefault="00C570E8" w:rsidP="00C570E8">
                  <w:pPr>
                    <w:spacing w:after="0" w:line="240" w:lineRule="auto"/>
                    <w:rPr>
                      <w:rFonts w:ascii="Tahoma" w:eastAsia="Times New Roman" w:hAnsi="Tahoma" w:cs="Tahoma"/>
                      <w:sz w:val="18"/>
                      <w:szCs w:val="18"/>
                      <w:lang w:eastAsia="es-MX"/>
                    </w:rPr>
                  </w:pPr>
                </w:p>
              </w:tc>
            </w:tr>
            <w:tr w:rsidR="00C570E8" w:rsidRPr="00C570E8" w:rsidTr="00C570E8">
              <w:tc>
                <w:tcPr>
                  <w:tcW w:w="0" w:type="auto"/>
                  <w:tcBorders>
                    <w:top w:val="nil"/>
                    <w:left w:val="nil"/>
                    <w:bottom w:val="nil"/>
                    <w:right w:val="nil"/>
                  </w:tcBorders>
                  <w:vAlign w:val="center"/>
                  <w:hideMark/>
                </w:tcPr>
                <w:p w:rsidR="00C570E8" w:rsidRPr="00C570E8" w:rsidRDefault="00C570E8" w:rsidP="00C570E8">
                  <w:pPr>
                    <w:spacing w:after="0" w:line="240" w:lineRule="auto"/>
                    <w:rPr>
                      <w:rFonts w:ascii="Tahoma" w:eastAsia="Times New Roman" w:hAnsi="Tahoma" w:cs="Tahoma"/>
                      <w:sz w:val="18"/>
                      <w:szCs w:val="18"/>
                      <w:lang w:eastAsia="es-MX"/>
                    </w:rPr>
                  </w:pPr>
                  <w:r w:rsidRPr="00C570E8">
                    <w:rPr>
                      <w:rFonts w:ascii="Tahoma" w:eastAsia="Times New Roman" w:hAnsi="Tahoma" w:cs="Tahoma"/>
                      <w:sz w:val="18"/>
                      <w:szCs w:val="18"/>
                      <w:lang w:eastAsia="es-MX"/>
                    </w:rPr>
                    <w:t>Publicado el: 18 de septiembre de 2014</w:t>
                  </w:r>
                </w:p>
              </w:tc>
            </w:tr>
            <w:tr w:rsidR="00C570E8" w:rsidRPr="00C570E8" w:rsidTr="00C570E8">
              <w:tc>
                <w:tcPr>
                  <w:tcW w:w="0" w:type="auto"/>
                  <w:tcBorders>
                    <w:top w:val="nil"/>
                    <w:left w:val="nil"/>
                    <w:bottom w:val="nil"/>
                    <w:right w:val="nil"/>
                  </w:tcBorders>
                  <w:vAlign w:val="center"/>
                  <w:hideMark/>
                </w:tcPr>
                <w:p w:rsidR="00C570E8" w:rsidRPr="00C570E8" w:rsidRDefault="00C570E8" w:rsidP="00C570E8">
                  <w:pPr>
                    <w:spacing w:after="0" w:line="240" w:lineRule="auto"/>
                    <w:rPr>
                      <w:rFonts w:ascii="Tahoma" w:eastAsia="Times New Roman" w:hAnsi="Tahoma" w:cs="Tahoma"/>
                      <w:sz w:val="18"/>
                      <w:szCs w:val="18"/>
                      <w:lang w:eastAsia="es-MX"/>
                    </w:rPr>
                  </w:pPr>
                </w:p>
              </w:tc>
            </w:tr>
          </w:tbl>
          <w:p w:rsidR="00C570E8" w:rsidRPr="00C570E8" w:rsidRDefault="00C570E8" w:rsidP="00C570E8">
            <w:pPr>
              <w:shd w:val="clear" w:color="auto" w:fill="EEEEEE"/>
              <w:spacing w:after="0" w:line="240" w:lineRule="auto"/>
              <w:rPr>
                <w:rFonts w:ascii="Arial" w:eastAsia="Times New Roman" w:hAnsi="Arial" w:cs="Arial"/>
                <w:color w:val="000000"/>
                <w:sz w:val="27"/>
                <w:szCs w:val="27"/>
                <w:lang w:eastAsia="es-MX"/>
              </w:rPr>
            </w:pPr>
          </w:p>
        </w:tc>
      </w:tr>
      <w:tr w:rsidR="00C570E8" w:rsidRPr="00C570E8" w:rsidTr="00C570E8">
        <w:tc>
          <w:tcPr>
            <w:tcW w:w="0" w:type="auto"/>
            <w:tcBorders>
              <w:top w:val="nil"/>
              <w:left w:val="nil"/>
              <w:bottom w:val="nil"/>
              <w:right w:val="nil"/>
            </w:tcBorders>
            <w:tcMar>
              <w:top w:w="0" w:type="dxa"/>
              <w:left w:w="0" w:type="dxa"/>
              <w:bottom w:w="0" w:type="dxa"/>
              <w:right w:w="0" w:type="dxa"/>
            </w:tcMar>
            <w:hideMark/>
          </w:tcPr>
          <w:tbl>
            <w:tblPr>
              <w:tblW w:w="0" w:type="auto"/>
              <w:tblCellMar>
                <w:left w:w="0" w:type="dxa"/>
                <w:right w:w="0" w:type="dxa"/>
              </w:tblCellMar>
              <w:tblLook w:val="04A0" w:firstRow="1" w:lastRow="0" w:firstColumn="1" w:lastColumn="0" w:noHBand="0" w:noVBand="1"/>
            </w:tblPr>
            <w:tblGrid>
              <w:gridCol w:w="8700"/>
            </w:tblGrid>
            <w:tr w:rsidR="00C570E8" w:rsidRPr="00C570E8">
              <w:tc>
                <w:tcPr>
                  <w:tcW w:w="0" w:type="auto"/>
                  <w:vAlign w:val="center"/>
                  <w:hideMark/>
                </w:tcPr>
                <w:p w:rsidR="00C570E8" w:rsidRPr="00C570E8" w:rsidRDefault="00C570E8" w:rsidP="00C570E8">
                  <w:pPr>
                    <w:spacing w:after="0" w:line="240" w:lineRule="auto"/>
                    <w:rPr>
                      <w:rFonts w:ascii="Times New Roman" w:eastAsia="Times New Roman" w:hAnsi="Times New Roman" w:cs="Times New Roman"/>
                      <w:sz w:val="20"/>
                      <w:szCs w:val="20"/>
                      <w:lang w:eastAsia="es-MX"/>
                    </w:rPr>
                  </w:pPr>
                </w:p>
              </w:tc>
            </w:tr>
            <w:tr w:rsidR="00C570E8" w:rsidRPr="00C570E8">
              <w:tc>
                <w:tcPr>
                  <w:tcW w:w="0" w:type="auto"/>
                  <w:tcBorders>
                    <w:top w:val="nil"/>
                    <w:left w:val="nil"/>
                    <w:bottom w:val="single" w:sz="12" w:space="0" w:color="DBD9DA"/>
                    <w:right w:val="nil"/>
                  </w:tcBorders>
                  <w:vAlign w:val="center"/>
                  <w:hideMark/>
                </w:tcPr>
                <w:p w:rsidR="00C570E8" w:rsidRPr="00C570E8" w:rsidRDefault="00C570E8" w:rsidP="00C570E8">
                  <w:pPr>
                    <w:spacing w:after="0" w:line="240" w:lineRule="auto"/>
                    <w:jc w:val="center"/>
                    <w:rPr>
                      <w:rFonts w:ascii="Tahoma" w:eastAsia="Times New Roman" w:hAnsi="Tahoma" w:cs="Tahoma"/>
                      <w:color w:val="4D4D4D"/>
                      <w:sz w:val="20"/>
                      <w:szCs w:val="20"/>
                      <w:lang w:eastAsia="es-MX"/>
                    </w:rPr>
                  </w:pPr>
                  <w:r w:rsidRPr="00C570E8">
                    <w:rPr>
                      <w:rFonts w:ascii="Tahoma" w:eastAsia="Times New Roman" w:hAnsi="Tahoma" w:cs="Tahoma"/>
                      <w:b/>
                      <w:bCs/>
                      <w:color w:val="4D4D4D"/>
                      <w:sz w:val="20"/>
                      <w:szCs w:val="20"/>
                      <w:bdr w:val="none" w:sz="0" w:space="0" w:color="auto" w:frame="1"/>
                      <w:lang w:eastAsia="es-MX"/>
                    </w:rPr>
                    <w:t>Infonavit apoya a afectados por “Odile”</w:t>
                  </w:r>
                </w:p>
                <w:p w:rsidR="00C570E8" w:rsidRPr="00C570E8" w:rsidRDefault="00C570E8" w:rsidP="00C570E8">
                  <w:pPr>
                    <w:spacing w:after="0" w:line="240" w:lineRule="auto"/>
                    <w:jc w:val="center"/>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 </w:t>
                  </w:r>
                </w:p>
                <w:p w:rsidR="00C570E8" w:rsidRPr="00C570E8" w:rsidRDefault="00C570E8" w:rsidP="00C570E8">
                  <w:pPr>
                    <w:numPr>
                      <w:ilvl w:val="0"/>
                      <w:numId w:val="1"/>
                    </w:numPr>
                    <w:spacing w:after="0" w:line="240" w:lineRule="auto"/>
                    <w:ind w:left="1050"/>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Se aplicará el seguro contra daños y enseres a favor de los acreditados.</w:t>
                  </w:r>
                </w:p>
                <w:p w:rsidR="00C570E8" w:rsidRPr="00C570E8" w:rsidRDefault="00C570E8" w:rsidP="00C570E8">
                  <w:pPr>
                    <w:numPr>
                      <w:ilvl w:val="0"/>
                      <w:numId w:val="1"/>
                    </w:numPr>
                    <w:spacing w:after="0" w:line="240" w:lineRule="auto"/>
                    <w:ind w:left="1050"/>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Prórroga hasta por tres bimestres a más de 20 mil acreditados afectados.</w:t>
                  </w:r>
                </w:p>
                <w:p w:rsidR="00C570E8" w:rsidRPr="00C570E8" w:rsidRDefault="00C570E8" w:rsidP="00C570E8">
                  <w:pPr>
                    <w:numPr>
                      <w:ilvl w:val="0"/>
                      <w:numId w:val="1"/>
                    </w:numPr>
                    <w:spacing w:after="0" w:line="240" w:lineRule="auto"/>
                    <w:ind w:left="1050"/>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También, prórroga para tres bimestres a 10,576 empresarios aportantes.</w:t>
                  </w:r>
                </w:p>
                <w:p w:rsidR="00C570E8" w:rsidRPr="00C570E8" w:rsidRDefault="00C570E8" w:rsidP="00C570E8">
                  <w:pPr>
                    <w:spacing w:after="0" w:line="240" w:lineRule="auto"/>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 </w:t>
                  </w:r>
                </w:p>
                <w:p w:rsidR="00C570E8" w:rsidRPr="00C570E8" w:rsidRDefault="00C570E8" w:rsidP="00C570E8">
                  <w:pPr>
                    <w:spacing w:after="0" w:line="240" w:lineRule="auto"/>
                    <w:jc w:val="both"/>
                    <w:rPr>
                      <w:rFonts w:ascii="Tahoma" w:eastAsia="Times New Roman" w:hAnsi="Tahoma" w:cs="Tahoma"/>
                      <w:color w:val="4D4D4D"/>
                      <w:sz w:val="20"/>
                      <w:szCs w:val="20"/>
                      <w:lang w:eastAsia="es-MX"/>
                    </w:rPr>
                  </w:pPr>
                  <w:r w:rsidRPr="00C570E8">
                    <w:rPr>
                      <w:rFonts w:ascii="Tahoma" w:eastAsia="Times New Roman" w:hAnsi="Tahoma" w:cs="Tahoma"/>
                      <w:b/>
                      <w:bCs/>
                      <w:color w:val="4D4D4D"/>
                      <w:sz w:val="20"/>
                      <w:szCs w:val="20"/>
                      <w:bdr w:val="none" w:sz="0" w:space="0" w:color="auto" w:frame="1"/>
                      <w:lang w:eastAsia="es-MX"/>
                    </w:rPr>
                    <w:t>San José del Cabo, BCS, 18 de septiembre de 2014. </w:t>
                  </w:r>
                  <w:r w:rsidRPr="00C570E8">
                    <w:rPr>
                      <w:rFonts w:ascii="Tahoma" w:eastAsia="Times New Roman" w:hAnsi="Tahoma" w:cs="Tahoma"/>
                      <w:color w:val="4D4D4D"/>
                      <w:sz w:val="20"/>
                      <w:szCs w:val="20"/>
                      <w:lang w:eastAsia="es-MX"/>
                    </w:rPr>
                    <w:t>El Director General del Instituto del Fondo Nacional de la Vivienda para los Trabajadores (Infonavit), Alejandro Murat Hinojosa, en gira de trabajo para conocer las condiciones de las viviendas financiadas por este instituto en la entidad tras el paso del huracán “Odile”, anunció que desde el día de ayer el Infonavit realiza un censo para aplicar el seguro contra daños en las viviendas afectadas, así como el seguro sobre los enseres domésticos de los acreditados.</w:t>
                  </w:r>
                </w:p>
                <w:p w:rsidR="00C570E8" w:rsidRPr="00C570E8" w:rsidRDefault="00C570E8" w:rsidP="00C570E8">
                  <w:pPr>
                    <w:spacing w:after="0" w:line="240" w:lineRule="auto"/>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 </w:t>
                  </w:r>
                </w:p>
                <w:p w:rsidR="00C570E8" w:rsidRPr="00C570E8" w:rsidRDefault="00C570E8" w:rsidP="00C570E8">
                  <w:pPr>
                    <w:spacing w:after="0" w:line="240" w:lineRule="auto"/>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Asimismo, anunció que se otorgará prórroga hasta por tres bimestres (quinto y sexto de 2014 así como el primero de 2015) para todos los acreditados afectados   con y sin relación laboral.</w:t>
                  </w:r>
                </w:p>
                <w:p w:rsidR="00C570E8" w:rsidRPr="00C570E8" w:rsidRDefault="00C570E8" w:rsidP="00C570E8">
                  <w:pPr>
                    <w:spacing w:after="0" w:line="240" w:lineRule="auto"/>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 </w:t>
                  </w:r>
                </w:p>
                <w:p w:rsidR="00C570E8" w:rsidRPr="00C570E8" w:rsidRDefault="00C570E8" w:rsidP="00C570E8">
                  <w:pPr>
                    <w:spacing w:after="0" w:line="240" w:lineRule="auto"/>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Adicionalmente los acreditados que perdieran la relación laboral y que sean sujetos al seguro de desempleo, podrán hacer uso del apoyo del Fondo de Protección de Pagos, realizando un copago que va desde $250.00 hasta $740.00 pesos mensuales.</w:t>
                  </w:r>
                </w:p>
                <w:p w:rsidR="00C570E8" w:rsidRPr="00C570E8" w:rsidRDefault="00C570E8" w:rsidP="00C570E8">
                  <w:pPr>
                    <w:spacing w:after="0" w:line="240" w:lineRule="auto"/>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 </w:t>
                  </w:r>
                </w:p>
                <w:p w:rsidR="00C570E8" w:rsidRPr="00C570E8" w:rsidRDefault="00C570E8" w:rsidP="00C570E8">
                  <w:pPr>
                    <w:spacing w:after="0" w:line="240" w:lineRule="auto"/>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El Infonavit también apoya a las empresas aportantes de la entidad suspendiendo acciones fiscales y aplazando el pago de las aportaciones, ya sea en una sola exhibición o en parcialidades, sin recargos por prórroga y sin la exhibición de garantía.</w:t>
                  </w:r>
                </w:p>
                <w:p w:rsidR="00C570E8" w:rsidRPr="00C570E8" w:rsidRDefault="00C570E8" w:rsidP="00C570E8">
                  <w:pPr>
                    <w:spacing w:after="0" w:line="240" w:lineRule="auto"/>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Además, se condonarán al 100% los recargos y multas que se generen por el pago extemporáneo de las aportaciones del quinto y sexto bimestre de 2014 y primero de 2015.</w:t>
                  </w:r>
                </w:p>
                <w:p w:rsidR="00C570E8" w:rsidRPr="00C570E8" w:rsidRDefault="00C570E8" w:rsidP="00C570E8">
                  <w:pPr>
                    <w:spacing w:after="0" w:line="240" w:lineRule="auto"/>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 </w:t>
                  </w:r>
                </w:p>
                <w:p w:rsidR="00C570E8" w:rsidRPr="00C570E8" w:rsidRDefault="00C570E8" w:rsidP="00C570E8">
                  <w:pPr>
                    <w:spacing w:after="0" w:line="240" w:lineRule="auto"/>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Murat Hinojosa enfatizó que el Infonavit es solidario con las condiciones que enfrentan los acreditados y empresarios aportantes del Instituto, para lo cual instruyó a las distintas áreas centrales del instituto así como a su Delegación en la entidad a brindar todas las facilidades para apoyar a la población afectada.</w:t>
                  </w:r>
                </w:p>
                <w:p w:rsidR="00C570E8" w:rsidRPr="00C570E8" w:rsidRDefault="00C570E8" w:rsidP="00C570E8">
                  <w:pPr>
                    <w:spacing w:after="0" w:line="240" w:lineRule="auto"/>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 </w:t>
                  </w:r>
                </w:p>
                <w:p w:rsidR="00C570E8" w:rsidRPr="00C570E8" w:rsidRDefault="00C570E8" w:rsidP="00C570E8">
                  <w:pPr>
                    <w:spacing w:after="0" w:line="240" w:lineRule="auto"/>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Asimismo, el Infonavit instalará a partir del día 19 de septiembre -y hasta nuevo aviso- un centro de acopio en sus oficinas de la ciudad de México:</w:t>
                  </w:r>
                </w:p>
                <w:p w:rsidR="00C570E8" w:rsidRPr="00C570E8" w:rsidRDefault="00C570E8" w:rsidP="00C570E8">
                  <w:pPr>
                    <w:spacing w:after="0" w:line="240" w:lineRule="auto"/>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 </w:t>
                  </w:r>
                </w:p>
                <w:p w:rsidR="00C570E8" w:rsidRPr="00C570E8" w:rsidRDefault="00C570E8" w:rsidP="00C570E8">
                  <w:pPr>
                    <w:numPr>
                      <w:ilvl w:val="0"/>
                      <w:numId w:val="2"/>
                    </w:numPr>
                    <w:spacing w:after="0" w:line="240" w:lineRule="auto"/>
                    <w:ind w:left="1050"/>
                    <w:jc w:val="both"/>
                    <w:rPr>
                      <w:rFonts w:ascii="Tahoma" w:eastAsia="Times New Roman" w:hAnsi="Tahoma" w:cs="Tahoma"/>
                      <w:color w:val="4D4D4D"/>
                      <w:sz w:val="20"/>
                      <w:szCs w:val="20"/>
                      <w:lang w:eastAsia="es-MX"/>
                    </w:rPr>
                  </w:pPr>
                  <w:r w:rsidRPr="00C570E8">
                    <w:rPr>
                      <w:rFonts w:ascii="Tahoma" w:eastAsia="Times New Roman" w:hAnsi="Tahoma" w:cs="Tahoma"/>
                      <w:color w:val="4D4D4D"/>
                      <w:sz w:val="20"/>
                      <w:szCs w:val="20"/>
                      <w:lang w:eastAsia="es-MX"/>
                    </w:rPr>
                    <w:t xml:space="preserve">Avenida Barranca del Muerto No. 280, colonia Guadalupe </w:t>
                  </w:r>
                  <w:proofErr w:type="spellStart"/>
                  <w:r w:rsidRPr="00C570E8">
                    <w:rPr>
                      <w:rFonts w:ascii="Tahoma" w:eastAsia="Times New Roman" w:hAnsi="Tahoma" w:cs="Tahoma"/>
                      <w:color w:val="4D4D4D"/>
                      <w:sz w:val="20"/>
                      <w:szCs w:val="20"/>
                      <w:lang w:eastAsia="es-MX"/>
                    </w:rPr>
                    <w:t>Inn</w:t>
                  </w:r>
                  <w:proofErr w:type="spellEnd"/>
                  <w:r w:rsidRPr="00C570E8">
                    <w:rPr>
                      <w:rFonts w:ascii="Tahoma" w:eastAsia="Times New Roman" w:hAnsi="Tahoma" w:cs="Tahoma"/>
                      <w:color w:val="4D4D4D"/>
                      <w:sz w:val="20"/>
                      <w:szCs w:val="20"/>
                      <w:lang w:eastAsia="es-MX"/>
                    </w:rPr>
                    <w:t>, entre las avenidas de los Insurgentes y Revolución.</w:t>
                  </w:r>
                </w:p>
              </w:tc>
            </w:tr>
          </w:tbl>
          <w:p w:rsidR="00C570E8" w:rsidRPr="00C570E8" w:rsidRDefault="00C570E8" w:rsidP="00C570E8">
            <w:pPr>
              <w:spacing w:after="0" w:line="240" w:lineRule="auto"/>
              <w:rPr>
                <w:rFonts w:ascii="Arial" w:eastAsia="Times New Roman" w:hAnsi="Arial" w:cs="Arial"/>
                <w:color w:val="000000"/>
                <w:sz w:val="27"/>
                <w:szCs w:val="27"/>
                <w:lang w:eastAsia="es-MX"/>
              </w:rPr>
            </w:pPr>
          </w:p>
        </w:tc>
      </w:tr>
    </w:tbl>
    <w:p w:rsidR="00C570E8" w:rsidRDefault="00C570E8">
      <w:bookmarkStart w:id="0" w:name="_GoBack"/>
      <w:bookmarkEnd w:id="0"/>
    </w:p>
    <w:sectPr w:rsidR="00C570E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D2136D"/>
    <w:multiLevelType w:val="multilevel"/>
    <w:tmpl w:val="ED8CC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162194"/>
    <w:multiLevelType w:val="multilevel"/>
    <w:tmpl w:val="CF407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0E8"/>
    <w:rsid w:val="00C570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2319BC-D0CE-4B3C-8898-501F39245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C570E8"/>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C570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8056174">
      <w:bodyDiv w:val="1"/>
      <w:marLeft w:val="0"/>
      <w:marRight w:val="0"/>
      <w:marTop w:val="0"/>
      <w:marBottom w:val="0"/>
      <w:divBdr>
        <w:top w:val="none" w:sz="0" w:space="0" w:color="auto"/>
        <w:left w:val="none" w:sz="0" w:space="0" w:color="auto"/>
        <w:bottom w:val="none" w:sz="0" w:space="0" w:color="auto"/>
        <w:right w:val="none" w:sz="0" w:space="0" w:color="auto"/>
      </w:divBdr>
      <w:divsChild>
        <w:div w:id="119109302">
          <w:marLeft w:val="0"/>
          <w:marRight w:val="0"/>
          <w:marTop w:val="0"/>
          <w:marBottom w:val="0"/>
          <w:divBdr>
            <w:top w:val="none" w:sz="0" w:space="0" w:color="auto"/>
            <w:left w:val="none" w:sz="0" w:space="0" w:color="auto"/>
            <w:bottom w:val="none" w:sz="0" w:space="0" w:color="auto"/>
            <w:right w:val="none" w:sz="0" w:space="0" w:color="auto"/>
          </w:divBdr>
        </w:div>
        <w:div w:id="790824068">
          <w:marLeft w:val="0"/>
          <w:marRight w:val="0"/>
          <w:marTop w:val="0"/>
          <w:marBottom w:val="0"/>
          <w:divBdr>
            <w:top w:val="none" w:sz="0" w:space="0" w:color="auto"/>
            <w:left w:val="none" w:sz="0" w:space="0" w:color="auto"/>
            <w:bottom w:val="none" w:sz="0" w:space="0" w:color="auto"/>
            <w:right w:val="none" w:sz="0" w:space="0" w:color="auto"/>
          </w:divBdr>
          <w:divsChild>
            <w:div w:id="2019307007">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358</Words>
  <Characters>1973</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PROFESIONALES EN ADMINISTRACIÓN PUBLICA SC</dc:creator>
  <cp:keywords/>
  <dc:description/>
  <cp:lastModifiedBy>PROFESIONALES EN ADMINISTRACIÓN PUBLICA SC</cp:lastModifiedBy>
  <cp:revision>1</cp:revision>
  <dcterms:created xsi:type="dcterms:W3CDTF">2018-09-13T17:01:00Z</dcterms:created>
  <dcterms:modified xsi:type="dcterms:W3CDTF">2018-09-13T17:02:00Z</dcterms:modified>
</cp:coreProperties>
</file>